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黑体" w:hAnsi="黑体" w:eastAsia="黑体" w:cs="黑体"/>
          <w:sz w:val="32"/>
          <w:szCs w:val="32"/>
        </w:rPr>
      </w:pPr>
      <w:r>
        <w:rPr>
          <w:rFonts w:hint="eastAsia" w:ascii="黑体" w:hAnsi="黑体" w:eastAsia="黑体" w:cs="黑体"/>
          <w:sz w:val="32"/>
          <w:szCs w:val="32"/>
        </w:rPr>
        <w:t>附件</w:t>
      </w:r>
      <w:bookmarkStart w:id="0" w:name="_GoBack"/>
      <w:bookmarkEnd w:id="0"/>
    </w:p>
    <w:p>
      <w:pPr>
        <w:pStyle w:val="2"/>
      </w:pPr>
    </w:p>
    <w:p>
      <w:pPr>
        <w:pStyle w:val="2"/>
      </w:pPr>
    </w:p>
    <w:p>
      <w:pPr>
        <w:spacing w:line="6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关于全面推动城镇老旧小区改造</w:t>
      </w:r>
    </w:p>
    <w:p>
      <w:pPr>
        <w:spacing w:line="64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暨“美好环境与幸福生活共同缔造”</w:t>
      </w:r>
    </w:p>
    <w:p>
      <w:pPr>
        <w:spacing w:line="6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活动的实施方案</w:t>
      </w:r>
    </w:p>
    <w:p>
      <w:pPr>
        <w:spacing w:line="560" w:lineRule="exact"/>
        <w:ind w:firstLine="640" w:firstLineChars="200"/>
        <w:rPr>
          <w:rFonts w:ascii="仿宋_GB2312" w:hAnsi="仿宋_GB2312" w:eastAsia="仿宋_GB2312" w:cs="仿宋_GB2312"/>
          <w:sz w:val="32"/>
          <w:szCs w:val="32"/>
        </w:rPr>
      </w:pPr>
    </w:p>
    <w:p>
      <w:pPr>
        <w:spacing w:before="312" w:beforeLines="10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贯彻落实党中央、国务院决策部署，按照国务院办公厅《关于全面推进城镇老旧小区改造工作的指导意见》（国办发〔2020〕23号）和住房和城乡建设部、陕西省人民政府签署的《在城乡人居环境建设中开展美好环境与幸福生活共同缔造活动合作框架协议》精神，全面推动我省城镇老旧小区改造暨“美好环境与幸福生活共同缔造”活动，结合全省实际，特制定本方案。</w:t>
      </w:r>
    </w:p>
    <w:p>
      <w:pPr>
        <w:spacing w:line="600" w:lineRule="exact"/>
        <w:ind w:firstLine="640" w:firstLineChars="200"/>
        <w:rPr>
          <w:rFonts w:hint="eastAsia" w:ascii="方正黑体简体" w:hAnsi="黑体" w:eastAsia="方正黑体简体" w:cs="黑体"/>
          <w:sz w:val="32"/>
          <w:szCs w:val="32"/>
        </w:rPr>
      </w:pPr>
      <w:r>
        <w:rPr>
          <w:rFonts w:hint="eastAsia" w:ascii="方正黑体简体" w:hAnsi="黑体" w:eastAsia="方正黑体简体" w:cs="黑体"/>
          <w:sz w:val="32"/>
          <w:szCs w:val="32"/>
        </w:rPr>
        <w:t>一、总体要求</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以习近平新时代中国特色社会主义思想为指导，全面贯彻党的十九大和十九届二中、三中、四中、五中全会精神，认真落实习近平总书记来陕考察重要讲话，按照党中央、国务院决策部署和</w:t>
      </w:r>
      <w:r>
        <w:rPr>
          <w:rFonts w:hint="eastAsia" w:ascii="仿宋_GB2312" w:hAnsi="Times New Roman" w:eastAsia="仿宋_GB2312"/>
          <w:sz w:val="32"/>
          <w:szCs w:val="32"/>
        </w:rPr>
        <w:t>省委、省政府</w:t>
      </w:r>
      <w:r>
        <w:rPr>
          <w:rFonts w:hint="eastAsia" w:ascii="仿宋_GB2312" w:eastAsia="仿宋_GB2312"/>
          <w:sz w:val="32"/>
          <w:szCs w:val="32"/>
        </w:rPr>
        <w:t>安排要求</w:t>
      </w:r>
      <w:r>
        <w:rPr>
          <w:rFonts w:hint="eastAsia" w:ascii="仿宋_GB2312" w:hAnsi="仿宋_GB2312" w:eastAsia="仿宋_GB2312" w:cs="仿宋_GB2312"/>
          <w:sz w:val="32"/>
          <w:szCs w:val="32"/>
        </w:rPr>
        <w:t>，坚持以人民为中心的发展思想，以“美好环境与幸福生活共同缔造”为路径，全面推进城镇老旧小区改造提升，改善居民居住条件，推动构建“纵向到底、横向到边、共建共治共享”的社区治理体系，让人民群众生活更方便、更舒心、更美好。</w:t>
      </w:r>
    </w:p>
    <w:p>
      <w:pPr>
        <w:spacing w:line="600" w:lineRule="exact"/>
        <w:ind w:firstLine="640" w:firstLineChars="200"/>
        <w:rPr>
          <w:rFonts w:ascii="方正黑体简体" w:hAnsi="黑体" w:eastAsia="方正黑体简体" w:cs="黑体"/>
          <w:sz w:val="32"/>
          <w:szCs w:val="32"/>
        </w:rPr>
      </w:pPr>
      <w:r>
        <w:rPr>
          <w:rFonts w:hint="eastAsia" w:ascii="方正黑体简体" w:hAnsi="黑体" w:eastAsia="方正黑体简体" w:cs="黑体"/>
          <w:sz w:val="32"/>
          <w:szCs w:val="32"/>
        </w:rPr>
        <w:t>二、改造目标</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四五”期间，全省计划改造城镇老旧小区近1万个，惠及约100万户居民。全省改造工作按照“三步走”：2021年新开工改造城镇老旧小区3622个，惠及39.23万户居民；到2022年，完成60%的改造任务，基本形成城镇老旧小区改造制度框架、政策体系和工作机制；到“十四五”期末，结合各地实际，力争基本完成2000年底前建成的需改造城镇老旧小区改造任务，建设环境整洁、设施完善、绿色生态、安全有序、管理规范、和谐宜居的“美好幸福小区”。</w:t>
      </w:r>
    </w:p>
    <w:p>
      <w:pPr>
        <w:spacing w:line="600" w:lineRule="exact"/>
        <w:ind w:firstLine="640" w:firstLineChars="200"/>
        <w:rPr>
          <w:rFonts w:ascii="方正黑体简体" w:hAnsi="黑体" w:eastAsia="方正黑体简体" w:cs="黑体"/>
          <w:sz w:val="32"/>
          <w:szCs w:val="32"/>
        </w:rPr>
      </w:pPr>
      <w:r>
        <w:rPr>
          <w:rFonts w:hint="eastAsia" w:ascii="方正黑体简体" w:hAnsi="黑体" w:eastAsia="方正黑体简体" w:cs="黑体"/>
          <w:sz w:val="32"/>
          <w:szCs w:val="32"/>
        </w:rPr>
        <w:t>三、改造范围</w:t>
      </w:r>
    </w:p>
    <w:p>
      <w:pPr>
        <w:spacing w:line="600" w:lineRule="exact"/>
        <w:ind w:firstLine="640" w:firstLineChars="200"/>
        <w:rPr>
          <w:rFonts w:ascii="仿宋_GB2312" w:hAnsi="仿宋" w:eastAsia="仿宋_GB2312" w:cs="宋体"/>
          <w:sz w:val="32"/>
          <w:szCs w:val="32"/>
        </w:rPr>
      </w:pPr>
      <w:r>
        <w:rPr>
          <w:rFonts w:hint="eastAsia" w:ascii="仿宋_GB2312" w:hAnsi="仿宋" w:eastAsia="仿宋_GB2312" w:cs="宋体"/>
          <w:sz w:val="32"/>
          <w:szCs w:val="32"/>
        </w:rPr>
        <w:t>城镇老旧小区改造是指对老旧小区及相关区域的建筑、环境、配套设施等进行改造、完善和提升的活动（不含住宅拆除新建）。城镇老旧小区是指城市或县城（城关镇）建成年代较早、失养失修失管、市政配套设施不完善、社区服务设施不健全、居民改造意愿强烈的住宅小区（含单栋住宅楼），各地要结合实际，合理界定本地区改造对象范围，重点改造2000年底前建成的老旧小区。</w:t>
      </w:r>
    </w:p>
    <w:p>
      <w:pPr>
        <w:spacing w:line="600" w:lineRule="exact"/>
        <w:ind w:firstLine="640" w:firstLineChars="200"/>
        <w:rPr>
          <w:rFonts w:ascii="方正黑体简体" w:hAnsi="黑体" w:eastAsia="方正黑体简体" w:cs="黑体"/>
          <w:sz w:val="32"/>
          <w:szCs w:val="32"/>
        </w:rPr>
      </w:pPr>
      <w:r>
        <w:rPr>
          <w:rFonts w:hint="eastAsia" w:ascii="方正黑体简体" w:hAnsi="黑体" w:eastAsia="方正黑体简体" w:cs="黑体"/>
          <w:sz w:val="32"/>
          <w:szCs w:val="32"/>
        </w:rPr>
        <w:t>四、改造内容</w:t>
      </w:r>
    </w:p>
    <w:p>
      <w:pPr>
        <w:spacing w:line="600" w:lineRule="exact"/>
        <w:ind w:firstLine="632" w:firstLineChars="200"/>
        <w:rPr>
          <w:rFonts w:ascii="仿宋_GB2312" w:eastAsia="仿宋_GB2312"/>
          <w:spacing w:val="-2"/>
          <w:kern w:val="0"/>
          <w:sz w:val="32"/>
          <w:szCs w:val="32"/>
        </w:rPr>
      </w:pPr>
      <w:r>
        <w:rPr>
          <w:rFonts w:hint="eastAsia" w:ascii="仿宋_GB2312" w:eastAsia="仿宋_GB2312"/>
          <w:spacing w:val="-2"/>
          <w:kern w:val="0"/>
          <w:sz w:val="32"/>
          <w:szCs w:val="32"/>
        </w:rPr>
        <w:t>城镇老旧小区改造内容可分为基础类、完善类、提升类3类。</w:t>
      </w:r>
    </w:p>
    <w:p>
      <w:pPr>
        <w:spacing w:line="600" w:lineRule="exact"/>
        <w:ind w:firstLine="643" w:firstLineChars="200"/>
        <w:rPr>
          <w:rFonts w:ascii="仿宋_GB2312" w:hAnsi="仿宋_GB2312" w:eastAsia="仿宋_GB2312" w:cs="仿宋_GB2312"/>
          <w:kern w:val="0"/>
          <w:sz w:val="32"/>
          <w:szCs w:val="32"/>
        </w:rPr>
      </w:pPr>
      <w:r>
        <w:rPr>
          <w:rFonts w:hint="eastAsia" w:ascii="楷体_GB2312" w:hAnsi="仿宋_GB2312" w:eastAsia="楷体_GB2312" w:cs="仿宋_GB2312"/>
          <w:b/>
          <w:bCs/>
          <w:kern w:val="0"/>
          <w:sz w:val="32"/>
          <w:szCs w:val="32"/>
        </w:rPr>
        <w:t>（一）基础类。</w:t>
      </w:r>
      <w:r>
        <w:rPr>
          <w:rFonts w:hint="eastAsia" w:ascii="仿宋_GB2312" w:hAnsi="仿宋_GB2312" w:eastAsia="仿宋_GB2312" w:cs="仿宋_GB2312"/>
          <w:kern w:val="0"/>
          <w:sz w:val="32"/>
          <w:szCs w:val="32"/>
        </w:rPr>
        <w:t>为满足居民安全需要和基本生活需求的内容，主要是市政配套基础设施改造提升以及小区内建筑物屋面、外墙、楼梯等公共部位维修、</w:t>
      </w:r>
      <w:r>
        <w:rPr>
          <w:rFonts w:hint="eastAsia" w:ascii="仿宋_GB2312" w:hAnsi="仿宋" w:eastAsia="仿宋_GB2312" w:cs="宋体"/>
          <w:sz w:val="32"/>
          <w:szCs w:val="32"/>
        </w:rPr>
        <w:t>清理楼道杂物及各类小广告</w:t>
      </w:r>
      <w:r>
        <w:rPr>
          <w:rFonts w:hint="eastAsia" w:ascii="仿宋_GB2312" w:hAnsi="仿宋_GB2312" w:eastAsia="仿宋_GB2312" w:cs="仿宋_GB2312"/>
          <w:kern w:val="0"/>
          <w:sz w:val="32"/>
          <w:szCs w:val="32"/>
        </w:rPr>
        <w:t>等。其中，改造提升市政配套基础设施包括改造提升小区内部及与小区联系的供水、排水、供电、弱电、道路、供气、供热、消防、安防、生活垃圾分类、移动通信等基础设施，以及光纤入户、架空线规整（入地）等。</w:t>
      </w:r>
    </w:p>
    <w:p>
      <w:pPr>
        <w:spacing w:line="600" w:lineRule="exact"/>
        <w:ind w:firstLine="643" w:firstLineChars="200"/>
        <w:rPr>
          <w:rFonts w:ascii="仿宋_GB2312" w:hAnsi="仿宋_GB2312" w:eastAsia="仿宋_GB2312" w:cs="仿宋_GB2312"/>
          <w:color w:val="000000"/>
          <w:kern w:val="0"/>
          <w:sz w:val="32"/>
          <w:szCs w:val="32"/>
        </w:rPr>
      </w:pPr>
      <w:r>
        <w:rPr>
          <w:rFonts w:hint="eastAsia" w:ascii="楷体_GB2312" w:hAnsi="仿宋_GB2312" w:eastAsia="楷体_GB2312" w:cs="仿宋_GB2312"/>
          <w:b/>
          <w:bCs/>
          <w:kern w:val="0"/>
          <w:sz w:val="32"/>
          <w:szCs w:val="32"/>
        </w:rPr>
        <w:t>（二）完善类。</w:t>
      </w:r>
      <w:r>
        <w:rPr>
          <w:rFonts w:hint="eastAsia" w:ascii="仿宋_GB2312" w:hAnsi="仿宋_GB2312" w:eastAsia="仿宋_GB2312" w:cs="仿宋_GB2312"/>
          <w:color w:val="000000"/>
          <w:kern w:val="0"/>
          <w:sz w:val="32"/>
          <w:szCs w:val="32"/>
        </w:rPr>
        <w:t>为满足居民生活便利需要和改善型生活需求的内容，主要是环境及配套设施改造建设、小区内建筑节能改造、有条件的楼栋加装电梯等。其中，改造建设环境及配套设施包括整治</w:t>
      </w:r>
      <w:r>
        <w:rPr>
          <w:rFonts w:hint="eastAsia" w:ascii="仿宋_GB2312" w:hAnsi="仿宋" w:eastAsia="仿宋_GB2312" w:cs="宋体"/>
          <w:color w:val="000000"/>
          <w:sz w:val="32"/>
          <w:szCs w:val="32"/>
        </w:rPr>
        <w:t>小区“脏、乱、差”，清理、拆除各类违章建筑物和侵占绿地、道路的违章设施，</w:t>
      </w:r>
      <w:r>
        <w:rPr>
          <w:rFonts w:hint="eastAsia" w:ascii="仿宋_GB2312" w:hAnsi="仿宋_GB2312" w:eastAsia="仿宋_GB2312" w:cs="仿宋_GB2312"/>
          <w:color w:val="000000"/>
          <w:kern w:val="0"/>
          <w:sz w:val="32"/>
          <w:szCs w:val="32"/>
        </w:rPr>
        <w:t>整治小区及周边绿化、照明等环境，改造或建设小区及周边适老设施、无障碍设施、停车库（场）、电动自行车及汽车充电设施、智能快件箱、智能信包箱、文化休闲设施、体育健身设施、物业用房、智慧安防等配套设施。</w:t>
      </w:r>
    </w:p>
    <w:p>
      <w:pPr>
        <w:spacing w:line="600" w:lineRule="exact"/>
        <w:ind w:firstLine="643" w:firstLineChars="200"/>
        <w:rPr>
          <w:rFonts w:ascii="仿宋_GB2312" w:hAnsi="仿宋" w:eastAsia="仿宋_GB2312" w:cs="宋体"/>
          <w:color w:val="000000"/>
          <w:sz w:val="32"/>
          <w:szCs w:val="32"/>
        </w:rPr>
      </w:pPr>
      <w:r>
        <w:rPr>
          <w:rFonts w:hint="eastAsia" w:ascii="楷体_GB2312" w:hAnsi="仿宋_GB2312" w:eastAsia="楷体_GB2312" w:cs="仿宋_GB2312"/>
          <w:b/>
          <w:bCs/>
          <w:kern w:val="0"/>
          <w:sz w:val="32"/>
          <w:szCs w:val="32"/>
        </w:rPr>
        <w:t>（三）提升类。</w:t>
      </w:r>
      <w:r>
        <w:rPr>
          <w:rFonts w:hint="eastAsia" w:ascii="仿宋_GB2312" w:hAnsi="仿宋" w:eastAsia="仿宋_GB2312" w:cs="宋体"/>
          <w:color w:val="000000"/>
          <w:sz w:val="32"/>
          <w:szCs w:val="32"/>
        </w:rPr>
        <w:t>为丰富社区服务供给、提升居民生活品质、立足小区及周边实际条件积极推进的内容，主要是公共服务设施配套建设及其智慧化改造，包括改造或建设小区及周边的社区综合服务设施、卫生服务站等公共卫生设施、幼儿园等教育设施、周界防护等智能感知设施，以及养老、托育、助餐、家政保洁、便民市场、便利店、邮政快递末端综合服务站等社区专项服务设施。</w:t>
      </w:r>
    </w:p>
    <w:p>
      <w:pPr>
        <w:spacing w:line="600" w:lineRule="exact"/>
        <w:ind w:firstLine="640" w:firstLineChars="200"/>
        <w:rPr>
          <w:rFonts w:ascii="仿宋_GB2312" w:hAnsi="仿宋" w:eastAsia="仿宋_GB2312" w:cs="宋体"/>
          <w:color w:val="000000"/>
          <w:sz w:val="32"/>
          <w:szCs w:val="32"/>
        </w:rPr>
      </w:pPr>
      <w:r>
        <w:rPr>
          <w:rFonts w:hint="eastAsia" w:ascii="仿宋_GB2312" w:hAnsi="仿宋" w:eastAsia="仿宋_GB2312" w:cs="宋体"/>
          <w:color w:val="000000"/>
          <w:sz w:val="32"/>
          <w:szCs w:val="32"/>
        </w:rPr>
        <w:t>各地应根据上述内容，结合当地实际情况，依据《陕西省城镇老旧小区改造导则》，确定具体的改造内容清单、可操作的改造标准和支持政策。</w:t>
      </w:r>
    </w:p>
    <w:p>
      <w:pPr>
        <w:spacing w:line="600" w:lineRule="exact"/>
        <w:ind w:firstLine="640" w:firstLineChars="200"/>
        <w:rPr>
          <w:rFonts w:ascii="方正黑体简体" w:hAnsi="黑体" w:eastAsia="方正黑体简体" w:cs="黑体"/>
          <w:sz w:val="32"/>
          <w:szCs w:val="32"/>
        </w:rPr>
      </w:pPr>
      <w:r>
        <w:rPr>
          <w:rFonts w:hint="eastAsia" w:ascii="方正黑体简体" w:hAnsi="黑体" w:eastAsia="方正黑体简体" w:cs="黑体"/>
          <w:sz w:val="32"/>
          <w:szCs w:val="32"/>
        </w:rPr>
        <w:t>五、工作方式</w:t>
      </w:r>
    </w:p>
    <w:p>
      <w:pPr>
        <w:spacing w:line="600" w:lineRule="exact"/>
        <w:ind w:firstLine="643" w:firstLineChars="200"/>
        <w:rPr>
          <w:rFonts w:ascii="仿宋_GB2312" w:eastAsia="仿宋_GB2312"/>
          <w:sz w:val="32"/>
          <w:szCs w:val="32"/>
        </w:rPr>
      </w:pPr>
      <w:r>
        <w:rPr>
          <w:rFonts w:hint="eastAsia" w:ascii="楷体_GB2312" w:hAnsi="仿宋_GB2312" w:eastAsia="楷体_GB2312" w:cs="仿宋_GB2312"/>
          <w:b/>
          <w:bCs/>
          <w:kern w:val="0"/>
          <w:sz w:val="32"/>
          <w:szCs w:val="32"/>
        </w:rPr>
        <w:t>（一）工作流程。</w:t>
      </w:r>
      <w:r>
        <w:rPr>
          <w:rFonts w:hint="eastAsia" w:ascii="仿宋_GB2312" w:eastAsia="仿宋_GB2312"/>
          <w:sz w:val="32"/>
          <w:szCs w:val="32"/>
        </w:rPr>
        <w:t>城镇老旧小区改造坚持政府引导，遵循以下流程：开展摸底排查——居民意愿调查——设计方案审查——制定实施方案——初步方案公示（居民决策）——申报确定实施方案——制定改造标准及建立改造项目库——组织实施——竣工验收——建立长效管理机制。</w:t>
      </w:r>
    </w:p>
    <w:p>
      <w:pPr>
        <w:pStyle w:val="9"/>
        <w:widowControl w:val="0"/>
        <w:spacing w:before="0" w:beforeAutospacing="0" w:after="0" w:afterAutospacing="0" w:line="600" w:lineRule="exact"/>
        <w:ind w:firstLine="643" w:firstLineChars="200"/>
        <w:jc w:val="both"/>
        <w:rPr>
          <w:rFonts w:ascii="楷体_GB2312" w:hAnsi="仿宋_GB2312" w:eastAsia="楷体_GB2312" w:cs="仿宋_GB2312"/>
          <w:b/>
          <w:bCs/>
          <w:sz w:val="32"/>
          <w:szCs w:val="32"/>
        </w:rPr>
      </w:pPr>
      <w:r>
        <w:rPr>
          <w:rFonts w:hint="eastAsia" w:ascii="楷体_GB2312" w:hAnsi="仿宋_GB2312" w:eastAsia="楷体_GB2312" w:cs="仿宋_GB2312"/>
          <w:b/>
          <w:bCs/>
          <w:sz w:val="32"/>
          <w:szCs w:val="32"/>
        </w:rPr>
        <w:t>（二）实施步骤。</w:t>
      </w:r>
    </w:p>
    <w:p>
      <w:pPr>
        <w:spacing w:line="60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1.制定年度改造计划</w:t>
      </w:r>
    </w:p>
    <w:p>
      <w:pPr>
        <w:spacing w:line="600" w:lineRule="exact"/>
        <w:ind w:firstLine="630" w:firstLineChars="196"/>
        <w:rPr>
          <w:rFonts w:ascii="仿宋_GB2312" w:eastAsia="仿宋_GB2312"/>
          <w:sz w:val="32"/>
          <w:szCs w:val="32"/>
        </w:rPr>
      </w:pPr>
      <w:r>
        <w:rPr>
          <w:rFonts w:hint="eastAsia" w:ascii="仿宋_GB2312" w:hAnsi="仿宋_GB2312" w:eastAsia="仿宋_GB2312" w:cs="仿宋_GB2312"/>
          <w:b/>
          <w:bCs/>
          <w:sz w:val="32"/>
          <w:szCs w:val="32"/>
        </w:rPr>
        <w:t>（1）摸底调查。</w:t>
      </w:r>
      <w:r>
        <w:rPr>
          <w:rFonts w:hint="eastAsia" w:ascii="仿宋_GB2312" w:eastAsia="仿宋_GB2312"/>
          <w:sz w:val="32"/>
          <w:szCs w:val="32"/>
        </w:rPr>
        <w:t>由各市、县（区）人民政府组织本级住房和城乡建设部门会同发展改革、财政等部门实施，街道办事处、社区配合，梳理群众改造意愿及群众对改造项目的意见建议。通过摸底调查拟改造项目的具体情况，梳理小区改造项目库。</w:t>
      </w:r>
      <w:r>
        <w:rPr>
          <w:rFonts w:hint="eastAsia" w:ascii="仿宋_GB2312" w:hAnsi="仿宋_GB2312" w:eastAsia="仿宋_GB2312" w:cs="仿宋_GB2312"/>
          <w:sz w:val="32"/>
          <w:szCs w:val="32"/>
        </w:rPr>
        <w:t>对片区内距离近，但分属不同产权或不同管理主体的老旧小区，鼓励打破小区分割，实施统一设计、统一改造、统一管理，进行集中连片改造。</w:t>
      </w:r>
      <w:r>
        <w:rPr>
          <w:rFonts w:hint="eastAsia" w:ascii="仿宋_GB2312" w:eastAsia="仿宋_GB2312"/>
          <w:sz w:val="32"/>
          <w:szCs w:val="32"/>
        </w:rPr>
        <w:t>　　</w:t>
      </w:r>
    </w:p>
    <w:p>
      <w:pPr>
        <w:spacing w:line="600" w:lineRule="exact"/>
        <w:ind w:firstLine="643" w:firstLineChars="200"/>
        <w:rPr>
          <w:rFonts w:ascii="仿宋_GB2312" w:eastAsia="仿宋_GB2312"/>
          <w:sz w:val="32"/>
          <w:szCs w:val="32"/>
        </w:rPr>
      </w:pPr>
      <w:r>
        <w:rPr>
          <w:rFonts w:hint="eastAsia" w:ascii="仿宋_GB2312" w:hAnsi="仿宋_GB2312" w:eastAsia="仿宋_GB2312" w:cs="仿宋_GB2312"/>
          <w:b/>
          <w:bCs/>
          <w:sz w:val="32"/>
          <w:szCs w:val="32"/>
        </w:rPr>
        <w:t>（2）编制年度改造计划。</w:t>
      </w:r>
      <w:r>
        <w:rPr>
          <w:rFonts w:hint="eastAsia" w:ascii="仿宋_GB2312" w:eastAsia="仿宋_GB2312"/>
          <w:sz w:val="32"/>
          <w:szCs w:val="32"/>
        </w:rPr>
        <w:t>由各市、县（区）住房和城乡建设部门会同发展改革、财政等部门按照本地区城镇老旧小区改造规划，区分轻重缓急，切实评估财政承受能力，科学编制年度改造计划，不得盲目举债铺摊子，经同级人民政府同意后，报送上一级住房和城乡建设、发展改革、财政部门。建立激励机制，优先对居民改造意愿强、参与积极性高的小区（包括移交政府安置的军队离退休干部住宅小区）实施改造。养老、文化、教育、卫生、托育、体育、邮政快递、社会治安等有关方面涉及城镇老旧小区的各类设施增设或改造计划，以及电力、通信、供水、排水、供气、供热等专业经营单位的相关管线改造计划，应主动与城镇老旧小区改造计划有效对接，同步推进实施。国有企事业单位、军队所属城镇老旧小区按属地原则纳入地方改造规划和计划统一组织实施。</w:t>
      </w:r>
    </w:p>
    <w:p>
      <w:pPr>
        <w:spacing w:line="60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2.制定小区改造方案</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列入改造计划的城镇老旧小区应由确定的项目主体单位组织编制改造方案。改造方案应包括项目基本情况、现状调研、改造内容、施工图文件、工程量清单、投资估算、资金来源、物业管理模式、社会经济效益分析等内容。改造方案应在小区进行公示。</w:t>
      </w:r>
    </w:p>
    <w:p>
      <w:pPr>
        <w:spacing w:line="60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3.开展项目审批</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城镇老旧小区改造方案公示通过后，应报各县（区）住房城乡建设、发展改革、财政、自然资源、文化和旅游等部门联合审查批准，同步办理立项、用地、规划等前期手续。</w:t>
      </w:r>
    </w:p>
    <w:p>
      <w:pPr>
        <w:spacing w:line="60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4.实施改造施工</w:t>
      </w:r>
    </w:p>
    <w:p>
      <w:pPr>
        <w:spacing w:line="600" w:lineRule="exact"/>
        <w:ind w:firstLine="643" w:firstLineChars="200"/>
        <w:rPr>
          <w:rFonts w:ascii="仿宋_GB2312" w:eastAsia="仿宋_GB2312"/>
          <w:sz w:val="32"/>
          <w:szCs w:val="32"/>
        </w:rPr>
      </w:pPr>
      <w:r>
        <w:rPr>
          <w:rFonts w:hint="eastAsia" w:ascii="仿宋_GB2312" w:hAnsi="仿宋_GB2312" w:eastAsia="仿宋_GB2312" w:cs="仿宋_GB2312"/>
          <w:b/>
          <w:bCs/>
          <w:sz w:val="32"/>
          <w:szCs w:val="32"/>
        </w:rPr>
        <w:t>（1）质量安全监管。</w:t>
      </w:r>
      <w:r>
        <w:rPr>
          <w:rFonts w:hint="eastAsia" w:ascii="仿宋_GB2312" w:eastAsia="仿宋_GB2312"/>
          <w:sz w:val="32"/>
          <w:szCs w:val="32"/>
        </w:rPr>
        <w:t>施工单位制定科学的施工组织设计，确保施工质量和安全文明施工。施工现场要公布投诉热线电话，接受居民咨询及监督。建设工程质量安全监督机构要全程介入，做好施工过程监督。住房和城乡建设部门加强对施工现场的监督检查，强化对隐蔽工程全过程监管，杜绝施工扰民。</w:t>
      </w:r>
    </w:p>
    <w:p>
      <w:pPr>
        <w:spacing w:line="600" w:lineRule="exact"/>
        <w:ind w:firstLine="643" w:firstLineChars="200"/>
        <w:rPr>
          <w:rFonts w:ascii="仿宋_GB2312" w:eastAsia="仿宋_GB2312"/>
          <w:sz w:val="32"/>
          <w:szCs w:val="32"/>
        </w:rPr>
      </w:pPr>
      <w:r>
        <w:rPr>
          <w:rFonts w:hint="eastAsia" w:ascii="仿宋_GB2312" w:hAnsi="仿宋_GB2312" w:eastAsia="仿宋_GB2312" w:cs="仿宋_GB2312"/>
          <w:b/>
          <w:bCs/>
          <w:sz w:val="32"/>
          <w:szCs w:val="32"/>
        </w:rPr>
        <w:t>（2）技术服务指导。</w:t>
      </w:r>
      <w:r>
        <w:rPr>
          <w:rFonts w:hint="eastAsia" w:ascii="仿宋_GB2312" w:eastAsia="仿宋_GB2312"/>
          <w:sz w:val="32"/>
          <w:szCs w:val="32"/>
        </w:rPr>
        <w:t>设计、施工、管线等单位和技术团队要全过程现场开展跟踪技术服务，根据现场情况调整或变更设计，及时解决现场技术问题，并就调整或者变更设计的技术合理性和经济性向建设单位书面说明。涉及重大内容、投资改变的，履行报批手续后要在小区进行公示。</w:t>
      </w:r>
    </w:p>
    <w:p>
      <w:pPr>
        <w:spacing w:line="60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5.竣工验收</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项目完工后，由建设单位组织，街道办事处、社区、业主委员会（或业主代表）和设计、施工、监理、管线等单位共同参与进行验收。同时，要组织小区居民对改造实效进行评价和反馈，及时整改存在问题。验收通过后，抓紧完成竣工财务决算，做好竣工项目的资料整理（特别是隐蔽工程的资料）、归档和移交工作。</w:t>
      </w:r>
    </w:p>
    <w:p>
      <w:pPr>
        <w:spacing w:line="600" w:lineRule="exact"/>
        <w:ind w:firstLine="643" w:firstLineChars="200"/>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rPr>
        <w:t>6.建立长效管理机制</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各县（区）可将有条件的若干个老旧小区捆绑打包，委托物业服务企业管理。引导业主委员会自主选择专业化物业管理；对未建立住宅专项维修基金的老旧小区，引导业主补交专项维修基金；对已完成改造的无上级产权单位、无物业管理、无人防物防的“三无”小区，可采取引入物业管理、业主自治等多种模式；改造好的小区可通过公共房屋出租、停车计时收费等形式，盘活小区资源，增加小区“造血功能”，为后期维护管理提供资金保障。</w:t>
      </w:r>
    </w:p>
    <w:p>
      <w:pPr>
        <w:spacing w:line="600" w:lineRule="exact"/>
        <w:ind w:firstLine="640" w:firstLineChars="200"/>
        <w:rPr>
          <w:rFonts w:ascii="方正黑体简体" w:hAnsi="黑体" w:eastAsia="方正黑体简体" w:cs="黑体"/>
          <w:sz w:val="32"/>
          <w:szCs w:val="32"/>
        </w:rPr>
      </w:pPr>
      <w:r>
        <w:rPr>
          <w:rFonts w:hint="eastAsia" w:ascii="方正黑体简体" w:hAnsi="黑体" w:eastAsia="方正黑体简体" w:cs="黑体"/>
          <w:sz w:val="32"/>
          <w:szCs w:val="32"/>
        </w:rPr>
        <w:t>六、工作措施</w:t>
      </w:r>
    </w:p>
    <w:p>
      <w:pPr>
        <w:pStyle w:val="9"/>
        <w:widowControl w:val="0"/>
        <w:spacing w:before="0" w:beforeAutospacing="0" w:after="0" w:afterAutospacing="0" w:line="600" w:lineRule="exact"/>
        <w:ind w:firstLine="643" w:firstLineChars="200"/>
        <w:jc w:val="both"/>
        <w:rPr>
          <w:rFonts w:ascii="仿宋_GB2312" w:hAnsi="仿宋_GB2312" w:eastAsia="仿宋_GB2312" w:cs="仿宋_GB2312"/>
          <w:sz w:val="32"/>
          <w:szCs w:val="32"/>
        </w:rPr>
      </w:pPr>
      <w:r>
        <w:rPr>
          <w:rFonts w:hint="eastAsia" w:ascii="楷体_GB2312" w:hAnsi="仿宋_GB2312" w:eastAsia="楷体_GB2312" w:cs="仿宋_GB2312"/>
          <w:b/>
          <w:bCs/>
          <w:sz w:val="32"/>
          <w:szCs w:val="32"/>
        </w:rPr>
        <w:t>（一）优化项目审批。</w:t>
      </w:r>
      <w:r>
        <w:rPr>
          <w:rFonts w:hint="eastAsia" w:ascii="仿宋_GB2312" w:hAnsi="仿宋_GB2312" w:eastAsia="仿宋_GB2312" w:cs="仿宋_GB2312"/>
          <w:sz w:val="32"/>
          <w:szCs w:val="32"/>
        </w:rPr>
        <w:t>各地要结合审批制度改革，精简城镇老旧小区改造工程审批事项和环节，构建快速审批流程，积极推行网上审批，提高项目审批效率。可由市、县（区）人民政府组织有关部门联合审查改造方案，认可后由相关部门直接办理立项、用地、规划审批。不涉及土地权属变化的项目，可用已有用地手续等材料作为土地证明文件，无需再办理用地手续。探索将工程建设许可和施工许可合并为一个阶段，简化相关审批手续。不涉及建筑主体结构变动的低风险项目，实行项目建设单位告知承诺制的，可不进行施工图审查。鼓励相关各方进行联合验收。</w:t>
      </w:r>
    </w:p>
    <w:p>
      <w:pPr>
        <w:pStyle w:val="9"/>
        <w:widowControl w:val="0"/>
        <w:spacing w:before="0" w:beforeAutospacing="0" w:after="0" w:afterAutospacing="0" w:line="600" w:lineRule="exact"/>
        <w:ind w:firstLine="643" w:firstLineChars="200"/>
        <w:jc w:val="both"/>
        <w:rPr>
          <w:rFonts w:ascii="仿宋_GB2312" w:hAnsi="仿宋_GB2312" w:eastAsia="仿宋_GB2312" w:cs="仿宋_GB2312"/>
          <w:sz w:val="32"/>
          <w:szCs w:val="32"/>
        </w:rPr>
      </w:pPr>
      <w:r>
        <w:rPr>
          <w:rFonts w:hint="eastAsia" w:ascii="楷体_GB2312" w:hAnsi="仿宋_GB2312" w:eastAsia="楷体_GB2312" w:cs="仿宋_GB2312"/>
          <w:b/>
          <w:bCs/>
          <w:sz w:val="32"/>
          <w:szCs w:val="32"/>
        </w:rPr>
        <w:t>（二）完善标准体系。</w:t>
      </w:r>
      <w:r>
        <w:rPr>
          <w:rFonts w:hint="eastAsia" w:ascii="仿宋_GB2312" w:hAnsi="仿宋_GB2312" w:eastAsia="仿宋_GB2312" w:cs="仿宋_GB2312"/>
          <w:sz w:val="32"/>
          <w:szCs w:val="32"/>
        </w:rPr>
        <w:t>各地要依据《陕西省城镇老旧小区改造导则》，研究制定本地区改造方案，逐项明确改造内容。合理确定设计方案及施工工艺，明确智能安防建设要求，鼓励综合运用物防、技防、人防等措施满足安全需要。及时推广应用新技术、新产品、新方法。因改造利用公共空间新建、改建各类设施涉及影响日照间距、占用绿化空间的，可在广泛征求居民意见的基础上一事一议予以解决。</w:t>
      </w:r>
    </w:p>
    <w:p>
      <w:pPr>
        <w:pStyle w:val="9"/>
        <w:widowControl w:val="0"/>
        <w:spacing w:before="0" w:beforeAutospacing="0" w:after="0" w:afterAutospacing="0" w:line="600" w:lineRule="exact"/>
        <w:ind w:firstLine="643" w:firstLineChars="200"/>
        <w:jc w:val="both"/>
        <w:rPr>
          <w:rFonts w:ascii="仿宋_GB2312" w:hAnsi="仿宋_GB2312" w:eastAsia="仿宋_GB2312" w:cs="仿宋_GB2312"/>
          <w:sz w:val="32"/>
          <w:szCs w:val="32"/>
        </w:rPr>
      </w:pPr>
      <w:r>
        <w:rPr>
          <w:rFonts w:hint="eastAsia" w:ascii="楷体_GB2312" w:hAnsi="仿宋_GB2312" w:eastAsia="楷体_GB2312" w:cs="仿宋_GB2312"/>
          <w:b/>
          <w:bCs/>
          <w:sz w:val="32"/>
          <w:szCs w:val="32"/>
        </w:rPr>
        <w:t>（三）整合存量资源。</w:t>
      </w:r>
      <w:r>
        <w:rPr>
          <w:rFonts w:hint="eastAsia" w:ascii="仿宋_GB2312" w:hAnsi="仿宋_GB2312" w:eastAsia="仿宋_GB2312" w:cs="仿宋_GB2312"/>
          <w:sz w:val="32"/>
          <w:szCs w:val="32"/>
        </w:rPr>
        <w:t>各地要合理拓展改造实施单元，推进相邻小区及周边地区联动改造，加强服务设施、公共空间共建共享。深入挖掘、统筹利用既有资源空间，增加小区停车位（场）及充电设施供给。加强既有用地集约混合利用，在不违反规划且征得居民同意的前提下，允许利用小区及周边存量土地建设各类环境及配套设施和公共服务设施。其中，对利用小区内空地、荒地、绿地及拆除违法建设腾空土地等加装电梯和建设各类设施的，可不增收土地价款。整合社区服务投入和资源，通过统筹利用公有住房、社区居民委员会办公用房和社区综合服务设施、闲置锅炉房等存量房屋资源，增设各类服务设施，有条件的地方可通过租赁住宅楼底层商业用房等其他符合条件的房屋发展社区服务。</w:t>
      </w:r>
    </w:p>
    <w:p>
      <w:pPr>
        <w:pStyle w:val="9"/>
        <w:widowControl w:val="0"/>
        <w:spacing w:before="0" w:beforeAutospacing="0" w:after="0" w:afterAutospacing="0" w:line="600" w:lineRule="exact"/>
        <w:ind w:firstLine="643" w:firstLineChars="200"/>
        <w:jc w:val="both"/>
        <w:rPr>
          <w:rFonts w:ascii="仿宋_GB2312" w:hAnsi="仿宋_GB2312" w:eastAsia="仿宋_GB2312" w:cs="仿宋_GB2312"/>
          <w:sz w:val="32"/>
          <w:szCs w:val="32"/>
        </w:rPr>
      </w:pPr>
      <w:r>
        <w:rPr>
          <w:rFonts w:hint="eastAsia" w:ascii="楷体_GB2312" w:hAnsi="仿宋_GB2312" w:eastAsia="楷体_GB2312" w:cs="仿宋_GB2312"/>
          <w:b/>
          <w:bCs/>
          <w:sz w:val="32"/>
          <w:szCs w:val="32"/>
        </w:rPr>
        <w:t>（四）明确土地支持政策。</w:t>
      </w:r>
      <w:r>
        <w:rPr>
          <w:rFonts w:hint="eastAsia" w:ascii="仿宋_GB2312" w:hAnsi="仿宋_GB2312" w:eastAsia="仿宋_GB2312" w:cs="仿宋_GB2312"/>
          <w:sz w:val="32"/>
          <w:szCs w:val="32"/>
        </w:rPr>
        <w:t>城镇老旧小区改造涉及利用闲置用房等存量房屋建设各类公共服务设施的，可在一定年期内暂不办理变更用地主体和土地使用性质的手续。增设服务设施需要办理不动产登记的，不动产登记机构应依法积极予以办理。</w:t>
      </w:r>
    </w:p>
    <w:p>
      <w:pPr>
        <w:spacing w:line="600" w:lineRule="exact"/>
        <w:ind w:firstLine="640" w:firstLineChars="200"/>
        <w:rPr>
          <w:rFonts w:ascii="方正黑体简体" w:hAnsi="黑体" w:eastAsia="方正黑体简体" w:cs="黑体"/>
          <w:sz w:val="32"/>
          <w:szCs w:val="32"/>
        </w:rPr>
      </w:pPr>
      <w:r>
        <w:rPr>
          <w:rFonts w:hint="eastAsia" w:ascii="方正黑体简体" w:hAnsi="黑体" w:eastAsia="方正黑体简体" w:cs="黑体"/>
          <w:sz w:val="32"/>
          <w:szCs w:val="32"/>
        </w:rPr>
        <w:t>七、工作机制</w:t>
      </w:r>
    </w:p>
    <w:p>
      <w:pPr>
        <w:spacing w:line="600" w:lineRule="exact"/>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kern w:val="0"/>
          <w:sz w:val="32"/>
          <w:szCs w:val="32"/>
        </w:rPr>
        <w:t>（一）建立统筹协调机制。</w:t>
      </w:r>
      <w:r>
        <w:rPr>
          <w:rFonts w:hint="eastAsia" w:ascii="仿宋_GB2312" w:hAnsi="仿宋_GB2312" w:eastAsia="仿宋_GB2312" w:cs="仿宋_GB2312"/>
          <w:sz w:val="32"/>
          <w:szCs w:val="32"/>
        </w:rPr>
        <w:t>建立“省级统筹、市县落实、街道办事处和社区、产权单位、小区居民等全程参与”的工作协调机制。省级相关部门主要负责政策顶层设计、年度改造计划的确定和中央、省级补助资金的拨付，同时协调解决工作推进中的重大问题。各市、县（区）要建立健全政府统筹、条块协作、各部门齐抓共管的专门工作机制，明确各有关部门、单位和街道办事处（镇）、社区职责分工，制定工作规则、责任清单和议事规程，形成工作合力，共同破解难题，统筹推进城镇老旧小区改造工作。</w:t>
      </w:r>
    </w:p>
    <w:p>
      <w:pPr>
        <w:pStyle w:val="4"/>
        <w:spacing w:line="600" w:lineRule="exact"/>
        <w:ind w:firstLine="643" w:firstLineChars="200"/>
        <w:rPr>
          <w:rFonts w:ascii="仿宋_GB2312" w:hAnsi="仿宋_GB2312" w:eastAsia="仿宋_GB2312" w:cs="仿宋_GB2312"/>
          <w:sz w:val="32"/>
          <w:szCs w:val="32"/>
        </w:rPr>
      </w:pPr>
      <w:r>
        <w:rPr>
          <w:rFonts w:hint="eastAsia" w:ascii="楷体_GB2312" w:hAnsi="仿宋_GB2312" w:eastAsia="楷体_GB2312" w:cs="仿宋_GB2312"/>
          <w:b/>
          <w:bCs/>
          <w:kern w:val="0"/>
          <w:sz w:val="32"/>
          <w:szCs w:val="32"/>
        </w:rPr>
        <w:t>（二）健全动员居民参与机制。</w:t>
      </w:r>
      <w:r>
        <w:rPr>
          <w:rFonts w:hint="eastAsia" w:ascii="仿宋_GB2312" w:hAnsi="仿宋_GB2312" w:eastAsia="仿宋_GB2312" w:cs="仿宋_GB2312"/>
          <w:sz w:val="32"/>
          <w:szCs w:val="32"/>
        </w:rPr>
        <w:t>各市（区）要结合全省“美好环境与幸福生活共同缔造”活动试点，以老旧小区改造为抓手，建立和完善党建引领城市基层治理机制，充分发挥街道办事处、社区党组织的领导作用，组织引导社区内机关、企事业单位积极配合、参与改造。统筹协调社区居民委员会、小区业主委员会、产权单位、物业服务企业等共同推进改造。将社区治理能力建设融入改造过程，促进小区治理模式创新，推动社会治理和服务重心向基层下移，完善小区长效管理机制。开展基层党组织引领的多种形式基层协商，搭建沟通议事平台，利用“互联网+共建共治共享”等线上线下手段，主动了解居民诉求，促进居民形成共识，发动居民积极参与改造项目方案制定、配合施工、参与监督和后续管理、评价和反馈小区改造效果等,实现决策共谋、问题共找、方案共定、资金共筹、改造共管、效果共评、成果共享。</w:t>
      </w:r>
    </w:p>
    <w:p>
      <w:pPr>
        <w:spacing w:line="600" w:lineRule="exact"/>
        <w:ind w:firstLine="643" w:firstLineChars="200"/>
        <w:rPr>
          <w:rFonts w:ascii="楷体_GB2312" w:hAnsi="楷体_GB2312" w:eastAsia="楷体_GB2312" w:cs="楷体_GB2312"/>
          <w:kern w:val="0"/>
          <w:sz w:val="32"/>
          <w:szCs w:val="32"/>
        </w:rPr>
      </w:pPr>
      <w:r>
        <w:rPr>
          <w:rFonts w:hint="eastAsia" w:ascii="楷体_GB2312" w:hAnsi="仿宋_GB2312" w:eastAsia="楷体_GB2312" w:cs="仿宋_GB2312"/>
          <w:b/>
          <w:bCs/>
          <w:kern w:val="0"/>
          <w:sz w:val="32"/>
          <w:szCs w:val="32"/>
        </w:rPr>
        <w:t>（三）建立改造项目推进机制。</w:t>
      </w:r>
      <w:r>
        <w:rPr>
          <w:rFonts w:hint="eastAsia" w:ascii="仿宋_GB2312" w:hAnsi="仿宋_GB2312" w:eastAsia="仿宋_GB2312" w:cs="仿宋_GB2312"/>
          <w:sz w:val="32"/>
          <w:szCs w:val="32"/>
        </w:rPr>
        <w:t>省住房和城乡建设厅会同省发展改革委、省财政厅等部门，采取“月统计、季通报、年考核”的工作推进机制，对全省老旧小区改造计划、项目建设、运行管理等方面进行督导和监管。各市、县（区）人民政府要明确项目实施主体，健全政府、街道办事处、社区、项目实施主体等共同参与的项目推进工作机制，确保项目有序实施。鼓励多种所有制企业作为实施主体承接城镇老旧小区改造，支持有实力的国有企业参与城镇老旧小区改造项目建设。支持市、县政府现有的融资平台在不承担政府融资职能的前提下，通过市场化运营，作为实施主体承接城镇老旧小区改造服务。鼓励采用工程总承包（EPC）、全过程工程咨询服务等推进项目建设。积极推动设计师、工程师、法律顾问以及志愿者进社区，辅导居民有效参与改造。为专业经营单位的工程实施提供支持便利，禁止收取不合理费用。鼓励选用经济适用、绿色环保的技术、工艺、材料、产品。改造项目涉及历史文化街区、历史建筑的，应严格落实相关保护修缮要求,</w:t>
      </w:r>
      <w:r>
        <w:rPr>
          <w:rFonts w:hint="eastAsia" w:ascii="仿宋_GB2312" w:hAnsi="仿宋_GB2312" w:eastAsia="仿宋_GB2312" w:cs="仿宋_GB2312"/>
          <w:kern w:val="0"/>
          <w:sz w:val="32"/>
          <w:szCs w:val="32"/>
          <w:lang w:val="zh-CN"/>
        </w:rPr>
        <w:t>注重维护城市传统风貌特色、地域特征和传统街区肌理，在改善居住条件、提高环境品质的同时，展现城市特色，延续历史文脉。</w:t>
      </w:r>
      <w:r>
        <w:rPr>
          <w:rFonts w:hint="eastAsia" w:ascii="仿宋_GB2312" w:hAnsi="仿宋_GB2312" w:eastAsia="仿宋_GB2312" w:cs="仿宋_GB2312"/>
          <w:sz w:val="32"/>
          <w:szCs w:val="32"/>
        </w:rPr>
        <w:t>结合城镇老旧小区改造，同步开展“美好幸福小区”、“绿色社区”创建。</w:t>
      </w:r>
    </w:p>
    <w:p>
      <w:pPr>
        <w:pStyle w:val="9"/>
        <w:widowControl w:val="0"/>
        <w:spacing w:before="0" w:beforeAutospacing="0" w:after="0" w:afterAutospacing="0" w:line="600" w:lineRule="exact"/>
        <w:ind w:firstLine="643" w:firstLineChars="200"/>
        <w:jc w:val="both"/>
        <w:rPr>
          <w:rFonts w:ascii="楷体_GB2312" w:hAnsi="楷体_GB2312" w:eastAsia="楷体_GB2312" w:cs="楷体_GB2312"/>
          <w:sz w:val="32"/>
          <w:szCs w:val="32"/>
        </w:rPr>
      </w:pPr>
      <w:r>
        <w:rPr>
          <w:rFonts w:hint="eastAsia" w:ascii="楷体_GB2312" w:hAnsi="仿宋_GB2312" w:eastAsia="楷体_GB2312" w:cs="仿宋_GB2312"/>
          <w:b/>
          <w:bCs/>
          <w:sz w:val="32"/>
          <w:szCs w:val="32"/>
        </w:rPr>
        <w:t>（四）强化改造过程质量安全监督机制。</w:t>
      </w:r>
      <w:r>
        <w:rPr>
          <w:rFonts w:hint="eastAsia" w:ascii="仿宋_GB2312" w:hAnsi="仿宋_GB2312" w:eastAsia="仿宋_GB2312" w:cs="仿宋_GB2312"/>
          <w:sz w:val="32"/>
          <w:szCs w:val="32"/>
        </w:rPr>
        <w:t>各市、县（区）人民政府要把老旧小区改造质量安全管理作为重点工作，切实健全责任主体、实施单位等各方的监督管理制度，细化分工，明确责任，督导责任主体和实施单位按照质量安全标准和规范要求，严把质量安全关，杜绝不合格建材进场，在开复工前对施工现场重要环节、重点部位进行全面彻底检查，重点监督检查各类脚手架、起重设备等安全使用情况，以及危大工程、临时用电、消防等安全管理情况，消除安全生产隐患。要落实全过程留痕要求，特别是隐蔽工程应录制影像资料。要防止不合理赶工期、抢进度现象，严防超定员、超强度加班带来的安全风险，严防高浓度酒精等消毒制剂以及易燃易爆品诱发火灾。</w:t>
      </w:r>
    </w:p>
    <w:p>
      <w:pPr>
        <w:pStyle w:val="2"/>
        <w:spacing w:line="600" w:lineRule="exact"/>
        <w:ind w:firstLine="667" w:firstLineChars="200"/>
        <w:rPr>
          <w:rFonts w:ascii="楷体_GB2312" w:hAnsi="楷体_GB2312" w:eastAsia="楷体_GB2312" w:cs="楷体_GB2312"/>
          <w:b w:val="0"/>
          <w:spacing w:val="6"/>
          <w:kern w:val="0"/>
          <w:sz w:val="32"/>
          <w:szCs w:val="32"/>
        </w:rPr>
      </w:pPr>
      <w:r>
        <w:rPr>
          <w:rFonts w:hint="eastAsia" w:ascii="楷体_GB2312" w:hAnsi="楷体_GB2312" w:eastAsia="楷体_GB2312" w:cs="楷体_GB2312"/>
          <w:spacing w:val="6"/>
          <w:sz w:val="32"/>
          <w:szCs w:val="32"/>
        </w:rPr>
        <w:t>（五）完善改造项目事中事后监管机制。</w:t>
      </w:r>
      <w:r>
        <w:rPr>
          <w:rFonts w:hint="eastAsia" w:ascii="仿宋_GB2312" w:hAnsi="仿宋_GB2312" w:cs="仿宋_GB2312"/>
          <w:b w:val="0"/>
          <w:spacing w:val="6"/>
          <w:kern w:val="0"/>
          <w:sz w:val="32"/>
          <w:szCs w:val="32"/>
        </w:rPr>
        <w:t>各地在组织施工时，必须按照下达的项目计划，对施工具体内容、投资额、资金来源、计划施工时间等信息进行公示公开，主动接受政府有关部门和社会各界的监督，</w:t>
      </w:r>
      <w:r>
        <w:rPr>
          <w:rFonts w:hint="eastAsia" w:ascii="仿宋_GB2312" w:hAnsi="仿宋_GB2312" w:cs="仿宋_GB2312"/>
          <w:b w:val="0"/>
          <w:spacing w:val="6"/>
          <w:sz w:val="32"/>
          <w:szCs w:val="32"/>
        </w:rPr>
        <w:t>畅通投诉举报渠道</w:t>
      </w:r>
      <w:r>
        <w:rPr>
          <w:rFonts w:hint="eastAsia" w:ascii="仿宋_GB2312" w:hAnsi="仿宋_GB2312" w:cs="仿宋_GB2312"/>
          <w:b w:val="0"/>
          <w:spacing w:val="6"/>
          <w:kern w:val="0"/>
          <w:sz w:val="32"/>
          <w:szCs w:val="32"/>
        </w:rPr>
        <w:t>,保障居民在小区改造中的“知情权、参与权、选择权、监督权”，最大限度满足居民需求，真正做到把好事办好，把老旧小区改造做成“民心工程”。各市、县（区）审计部门要适时主动介入，加强对改造项目的审计监督，及时揭示存在的问题，督促整改完善。</w:t>
      </w:r>
    </w:p>
    <w:p>
      <w:pPr>
        <w:pStyle w:val="9"/>
        <w:widowControl w:val="0"/>
        <w:spacing w:before="0" w:beforeAutospacing="0" w:after="0" w:afterAutospacing="0" w:line="600" w:lineRule="exact"/>
        <w:ind w:firstLine="643" w:firstLineChars="200"/>
        <w:jc w:val="both"/>
        <w:rPr>
          <w:rFonts w:ascii="仿宋_GB2312" w:hAnsi="仿宋_GB2312" w:eastAsia="仿宋_GB2312" w:cs="仿宋_GB2312"/>
          <w:sz w:val="32"/>
          <w:szCs w:val="32"/>
        </w:rPr>
      </w:pPr>
      <w:r>
        <w:rPr>
          <w:rFonts w:hint="eastAsia" w:ascii="楷体_GB2312" w:hAnsi="楷体_GB2312" w:eastAsia="楷体_GB2312" w:cs="楷体_GB2312"/>
          <w:b/>
          <w:bCs/>
          <w:sz w:val="32"/>
          <w:szCs w:val="32"/>
        </w:rPr>
        <w:t>（六）完善小区长效管理机制。</w:t>
      </w:r>
      <w:r>
        <w:rPr>
          <w:rFonts w:hint="eastAsia" w:ascii="仿宋_GB2312" w:hAnsi="仿宋_GB2312" w:eastAsia="仿宋_GB2312" w:cs="仿宋_GB2312"/>
          <w:sz w:val="32"/>
          <w:szCs w:val="32"/>
        </w:rPr>
        <w:t>结合改造工作同步建立健全基层党组织领导，街道办事处、社区居民委员会配合，业主委员会、物业服务企业等参与的联席会议机制，引导小区居民协商确定改造后小区的管理模式、管理规约及业主议事规则，共同维护改造成果。建立健全城镇老旧小区全周期管理机制，完善住宅专项维修资金归集、使用、续筹机制，促进小区改造后维护更新进入良性轨道。省住房和城乡建设厅会同省级相关部门对全省城镇老旧小区改造建设及后续运营管理情况进行考评。制定“以奖代补”政策，鼓励老旧小区运营管理主体不断提高管理维护水平。对于涉及银行借款的老旧小区改造项目，还款期内，各市、县（区）政府部门要督导借款主体落实还款责任，确保按时偿还到期资金，维护良好信用。</w:t>
      </w:r>
    </w:p>
    <w:p>
      <w:pPr>
        <w:spacing w:line="600" w:lineRule="exact"/>
        <w:ind w:firstLine="640" w:firstLineChars="200"/>
        <w:rPr>
          <w:rFonts w:ascii="方正黑体简体" w:hAnsi="黑体" w:eastAsia="方正黑体简体" w:cs="黑体"/>
          <w:sz w:val="32"/>
          <w:szCs w:val="32"/>
        </w:rPr>
      </w:pPr>
      <w:r>
        <w:rPr>
          <w:rFonts w:hint="eastAsia" w:ascii="方正黑体简体" w:hAnsi="黑体" w:eastAsia="方正黑体简体" w:cs="黑体"/>
          <w:sz w:val="32"/>
          <w:szCs w:val="32"/>
        </w:rPr>
        <w:t>八、资金筹措</w:t>
      </w:r>
    </w:p>
    <w:p>
      <w:pPr>
        <w:pStyle w:val="9"/>
        <w:widowControl w:val="0"/>
        <w:spacing w:before="0" w:beforeAutospacing="0" w:after="0" w:afterAutospacing="0" w:line="600" w:lineRule="exact"/>
        <w:ind w:firstLine="643" w:firstLineChars="200"/>
        <w:jc w:val="both"/>
        <w:rPr>
          <w:rFonts w:ascii="仿宋_GB2312" w:hAnsi="仿宋_GB2312" w:eastAsia="仿宋_GB2312" w:cs="仿宋_GB2312"/>
          <w:sz w:val="32"/>
          <w:szCs w:val="32"/>
        </w:rPr>
      </w:pPr>
      <w:r>
        <w:rPr>
          <w:rFonts w:hint="eastAsia" w:ascii="楷体_GB2312" w:hAnsi="楷体_GB2312" w:eastAsia="楷体_GB2312" w:cs="楷体_GB2312"/>
          <w:b/>
          <w:bCs/>
          <w:sz w:val="32"/>
          <w:szCs w:val="32"/>
        </w:rPr>
        <w:t>（一）居民合理出资。</w:t>
      </w:r>
      <w:r>
        <w:rPr>
          <w:rFonts w:hint="eastAsia" w:ascii="仿宋_GB2312" w:hAnsi="仿宋_GB2312" w:eastAsia="仿宋_GB2312" w:cs="仿宋_GB2312"/>
          <w:sz w:val="32"/>
          <w:szCs w:val="32"/>
        </w:rPr>
        <w:t>按照谁受益、谁出资原则，积极推动居民出资参与改造，可通过直接出资、使用（补建、续筹）住宅专项维修资金、让渡小区公共收益等方式落实。各市（区）人民政府组织有关部门，研究出台住宅专项维修资金用于城镇老旧小区改造的政策。支持小区居民提取住房公积金，用于加装电梯等自住住房改造。鼓励居民通过捐资捐物、投工投劳等支持改造。鼓励有出资意愿的居民结合老旧小区改造同步进行户内改造或装饰装修、家电更新。</w:t>
      </w:r>
    </w:p>
    <w:p>
      <w:pPr>
        <w:adjustRightInd w:val="0"/>
        <w:snapToGrid w:val="0"/>
        <w:spacing w:line="600" w:lineRule="exact"/>
        <w:ind w:firstLine="643" w:firstLineChars="200"/>
        <w:rPr>
          <w:rFonts w:ascii="楷体_GB2312" w:hAnsi="楷体_GB2312" w:eastAsia="楷体_GB2312" w:cs="楷体_GB2312"/>
          <w:kern w:val="0"/>
          <w:sz w:val="32"/>
          <w:szCs w:val="32"/>
        </w:rPr>
      </w:pPr>
      <w:r>
        <w:rPr>
          <w:rFonts w:hint="eastAsia" w:ascii="楷体_GB2312" w:hAnsi="楷体_GB2312" w:eastAsia="楷体_GB2312" w:cs="楷体_GB2312"/>
          <w:b/>
          <w:bCs/>
          <w:sz w:val="32"/>
          <w:szCs w:val="32"/>
        </w:rPr>
        <w:t>（二）政府财政支持。</w:t>
      </w:r>
      <w:r>
        <w:rPr>
          <w:rFonts w:hint="eastAsia" w:ascii="仿宋_GB2312" w:hAnsi="仿宋_GB2312" w:eastAsia="仿宋_GB2312" w:cs="仿宋_GB2312"/>
          <w:sz w:val="32"/>
          <w:szCs w:val="32"/>
        </w:rPr>
        <w:t>省发展改革委、省财政厅、省住房和城乡建设厅等部门积极争取中央资金支持，并统筹省级财政补助资金支持全省城镇老旧小区改造。中央、省级资金主要用于基础类改造，可适当用于完善类、提升类部分项目的改造。市、县（区）人民政府要加大城镇老旧小区改造同级资金配套力度，要结合实际，将老旧小区改造项目纳入国有住房出售收入存量资金使用范围；同时要加大统筹涉及住宅小区的各类资金用于城镇老旧小区改造，提高资金使用效率。支持各地通过发行地方政府专项债券筹措改造资金。</w:t>
      </w:r>
    </w:p>
    <w:p>
      <w:pPr>
        <w:adjustRightInd w:val="0"/>
        <w:snapToGrid w:val="0"/>
        <w:spacing w:line="600" w:lineRule="exact"/>
        <w:ind w:firstLine="643" w:firstLineChars="200"/>
        <w:rPr>
          <w:rFonts w:ascii="楷体_GB2312" w:hAnsi="楷体_GB2312" w:eastAsia="楷体_GB2312" w:cs="楷体_GB2312"/>
          <w:kern w:val="0"/>
          <w:sz w:val="32"/>
          <w:szCs w:val="32"/>
        </w:rPr>
      </w:pPr>
      <w:r>
        <w:rPr>
          <w:rFonts w:hint="eastAsia" w:ascii="楷体_GB2312" w:hAnsi="楷体_GB2312" w:eastAsia="楷体_GB2312" w:cs="楷体_GB2312"/>
          <w:b/>
          <w:bCs/>
          <w:sz w:val="32"/>
          <w:szCs w:val="32"/>
        </w:rPr>
        <w:t>（三）金融力量参与。</w:t>
      </w:r>
      <w:r>
        <w:rPr>
          <w:rFonts w:hint="eastAsia" w:ascii="仿宋_GB2312" w:hAnsi="仿宋_GB2312" w:eastAsia="仿宋_GB2312" w:cs="仿宋_GB2312"/>
          <w:sz w:val="32"/>
          <w:szCs w:val="32"/>
        </w:rPr>
        <w:t>省住房和城乡建设厅积极协调各金融机构授信工作。支持城镇老旧小区改造规模化实施运营主体采取市场化方式，运用公司信用类债券、项目收益票据等进行债券融资，但不得承担政府融资职能，杜绝新增地方政府隐性债务。国家开发银行陕西省分行、农业发展银行陕西省分行结合各自职能定位和业务范围，按照市场化、法治化原则，依法合规加大对城镇老旧小区改造的信贷支持力度。各商业银行加大产品和服务创新力度，在风险可控、商业可持续前提下，依法合规对实施城镇老旧小区改造的企业和项目提供信贷支持。国家开发银行陕西省分行依据陕西省人民政府与国家开发银行总行签订的《开发性金融支持城镇老旧小区改造战略合作协议》，参与陕西省城镇老旧小区改造项目规划及项目筛选，在符合国家有关规定及国家开发银行内部授信政策的前提下开展授信工作，加大对老旧小区改造项目的金融服务力度，提供优惠信贷资金支持。支持各金融机构创新金融产品，改善金融服务，探索公司融资模式及项目融资模式为老旧小区改造项目提供融资支持。</w:t>
      </w:r>
    </w:p>
    <w:p>
      <w:pPr>
        <w:pStyle w:val="9"/>
        <w:widowControl w:val="0"/>
        <w:spacing w:before="0" w:beforeAutospacing="0" w:after="0" w:afterAutospacing="0" w:line="600" w:lineRule="exact"/>
        <w:ind w:firstLine="643" w:firstLineChars="200"/>
        <w:jc w:val="both"/>
        <w:rPr>
          <w:rFonts w:ascii="仿宋_GB2312" w:hAnsi="仿宋_GB2312" w:eastAsia="仿宋_GB2312" w:cs="仿宋_GB2312"/>
          <w:sz w:val="32"/>
          <w:szCs w:val="32"/>
        </w:rPr>
      </w:pPr>
      <w:r>
        <w:rPr>
          <w:rFonts w:hint="eastAsia" w:ascii="楷体_GB2312" w:hAnsi="楷体_GB2312" w:eastAsia="楷体_GB2312" w:cs="楷体_GB2312"/>
          <w:b/>
          <w:bCs/>
          <w:sz w:val="32"/>
          <w:szCs w:val="32"/>
        </w:rPr>
        <w:t>（四）专营单位投入。</w:t>
      </w:r>
      <w:r>
        <w:rPr>
          <w:rFonts w:hint="eastAsia" w:ascii="仿宋_GB2312" w:hAnsi="仿宋_GB2312" w:eastAsia="仿宋_GB2312" w:cs="仿宋_GB2312"/>
          <w:sz w:val="32"/>
          <w:szCs w:val="32"/>
        </w:rPr>
        <w:t>鼓励原产权单位对已移交地方的原职工住宅小区改造给予资金等支持。公房产权单位应出资参与改造。引导专业经营单位履行社会责任，出资参与小区改造中相关管线设施设备的改造提升；专营设施改造前产权属于专业经营单位的，由专业经营单位负责改造；产权不属于专业经营单位的，改造后专营设施设备的产权可依照法定程序移交给专业经营单位，由专业经营单位负责后续维护管理。通过政府采购、新增设施有偿使用、落实资产权益等方式，吸引各类专业机构等社会力量投资参与各类需改造设施的设计、改造、运营。对具备市场化运作条件的社区养老、托幼、医疗、助餐、超市、保洁、文体等公共服务设施,采取各运营主体与小区业主利益捆绑开发、商业捆绑开发等方式,运用市场化方式吸引社会资金参与。支持规范各类企业以政府和社会资本合作模式参与改造。支持以“平台+创业单元”方式发展养老、托育、家政等社区服务新业态。</w:t>
      </w:r>
    </w:p>
    <w:p>
      <w:pPr>
        <w:pStyle w:val="9"/>
        <w:widowControl w:val="0"/>
        <w:spacing w:before="0" w:beforeAutospacing="0" w:after="0" w:afterAutospacing="0" w:line="600" w:lineRule="exact"/>
        <w:ind w:firstLine="643" w:firstLineChars="200"/>
        <w:jc w:val="both"/>
        <w:rPr>
          <w:rFonts w:ascii="仿宋_GB2312" w:hAnsi="仿宋_GB2312" w:eastAsia="仿宋_GB2312" w:cs="仿宋_GB2312"/>
          <w:sz w:val="32"/>
          <w:szCs w:val="32"/>
        </w:rPr>
      </w:pPr>
      <w:r>
        <w:rPr>
          <w:rFonts w:hint="eastAsia" w:ascii="楷体_GB2312" w:hAnsi="楷体_GB2312" w:eastAsia="楷体_GB2312" w:cs="楷体_GB2312"/>
          <w:b/>
          <w:bCs/>
          <w:sz w:val="32"/>
          <w:szCs w:val="32"/>
        </w:rPr>
        <w:t>（五）落实税费减免。</w:t>
      </w:r>
      <w:r>
        <w:rPr>
          <w:rFonts w:hint="eastAsia" w:ascii="仿宋_GB2312" w:hAnsi="仿宋_GB2312" w:eastAsia="仿宋_GB2312" w:cs="仿宋_GB2312"/>
          <w:sz w:val="32"/>
          <w:szCs w:val="32"/>
        </w:rPr>
        <w:t>专业经营单位参与政府统一组织的城镇老旧小区改造，对其取得所有权的设施设备等配套资产改造所发生的费用，可以作为该设施设备的计税基础，按规定计提折旧并在企业所得税前扣除；所发生的维护管理费用，可按规定计入企业当期费用税前扣除。在城镇老旧小区改造中，为社区提供养老、托育、家政等服务的机构，提供养老、托育、家政服务取得的收入免征增值税，并减按90%计入所得税应纳税所得额；用于提供社区养老、托育、家政服务的房产、土地，可按现行规定免征契税、房产税、城镇土地使用税和城市基础设施配套费、不动产登记费等。</w:t>
      </w:r>
    </w:p>
    <w:p>
      <w:pPr>
        <w:spacing w:line="600" w:lineRule="exact"/>
        <w:ind w:firstLine="640" w:firstLineChars="200"/>
        <w:rPr>
          <w:rFonts w:ascii="方正黑体简体" w:hAnsi="黑体" w:eastAsia="方正黑体简体" w:cs="黑体"/>
          <w:sz w:val="32"/>
          <w:szCs w:val="32"/>
        </w:rPr>
      </w:pPr>
      <w:r>
        <w:rPr>
          <w:rFonts w:hint="eastAsia" w:ascii="方正黑体简体" w:hAnsi="黑体" w:eastAsia="方正黑体简体" w:cs="黑体"/>
          <w:sz w:val="32"/>
          <w:szCs w:val="32"/>
        </w:rPr>
        <w:t>九、组织保障</w:t>
      </w:r>
    </w:p>
    <w:p>
      <w:pPr>
        <w:pStyle w:val="9"/>
        <w:widowControl w:val="0"/>
        <w:spacing w:before="0" w:beforeAutospacing="0" w:after="0" w:afterAutospacing="0" w:line="600" w:lineRule="exact"/>
        <w:ind w:firstLine="643" w:firstLineChars="200"/>
        <w:jc w:val="both"/>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（一）统筹推进工作。</w:t>
      </w:r>
      <w:r>
        <w:rPr>
          <w:rFonts w:hint="eastAsia" w:ascii="仿宋_GB2312" w:hAnsi="仿宋_GB2312" w:eastAsia="仿宋_GB2312" w:cs="仿宋_GB2312"/>
          <w:sz w:val="32"/>
          <w:szCs w:val="32"/>
        </w:rPr>
        <w:t>城镇老旧小区改造作为落实“美好环境与幸福生活共同缔造”活动中城市更新内容的重要载体，各市（区）要以“共同缔造”的理念，将城镇老旧小区改造作为当前城市居住社区建设补短板行动和城市更新行动的重要内容，同步推进城镇老旧小区改造工作和“美好环境与幸福生活共同缔造”活动。</w:t>
      </w:r>
    </w:p>
    <w:p>
      <w:pPr>
        <w:spacing w:line="600" w:lineRule="exact"/>
        <w:ind w:firstLine="643" w:firstLineChars="200"/>
        <w:rPr>
          <w:rFonts w:ascii="仿宋_GB2312" w:eastAsia="仿宋_GB2312"/>
          <w:sz w:val="32"/>
          <w:szCs w:val="32"/>
        </w:rPr>
      </w:pPr>
      <w:r>
        <w:rPr>
          <w:rFonts w:hint="eastAsia" w:ascii="楷体_GB2312" w:hAnsi="楷体_GB2312" w:eastAsia="楷体_GB2312" w:cs="楷体_GB2312"/>
          <w:b/>
          <w:bCs/>
          <w:kern w:val="0"/>
          <w:sz w:val="32"/>
          <w:szCs w:val="32"/>
        </w:rPr>
        <w:t>（二）层层压实责任。</w:t>
      </w:r>
      <w:r>
        <w:rPr>
          <w:rFonts w:hint="eastAsia" w:ascii="仿宋_GB2312" w:hAnsi="仿宋_GB2312" w:eastAsia="仿宋_GB2312" w:cs="仿宋_GB2312"/>
          <w:sz w:val="32"/>
          <w:szCs w:val="32"/>
        </w:rPr>
        <w:t>市县（区）政府要落实主体责任，主要负责同志要亲自抓，成立工作领导小组，组织本级政府审核城镇老旧小区改造年度申报计划和项目内容清单，进行财政承受能力评估，多方筹措老旧小区改造资金，做好辖区内老旧小区改造工作。项目责任主体要做好项目的规划设计、质量安全监管等工作，街道办事处和社区要统筹协调业主委员会、物业服务公司等，做好老旧小区改造宣传发动、群众意愿征集、化解处理矛盾纠纷等工作。省住房城乡建设厅会同</w:t>
      </w:r>
      <w:r>
        <w:rPr>
          <w:rFonts w:hint="eastAsia" w:ascii="仿宋_GB2312" w:eastAsia="仿宋_GB2312"/>
          <w:sz w:val="32"/>
          <w:szCs w:val="32"/>
        </w:rPr>
        <w:t>省发展改革委、省财政厅等省级相关部门加强工作指导、督导检查，</w:t>
      </w:r>
      <w:r>
        <w:rPr>
          <w:rFonts w:hint="eastAsia" w:ascii="仿宋_GB2312" w:hAnsi="仿宋_GB2312" w:eastAsia="仿宋_GB2312" w:cs="仿宋_GB2312"/>
          <w:sz w:val="32"/>
          <w:szCs w:val="32"/>
        </w:rPr>
        <w:t>确保工作有序推进。</w:t>
      </w:r>
    </w:p>
    <w:p>
      <w:pPr>
        <w:pStyle w:val="9"/>
        <w:widowControl w:val="0"/>
        <w:spacing w:before="0" w:beforeAutospacing="0" w:after="0" w:afterAutospacing="0" w:line="600" w:lineRule="exact"/>
        <w:ind w:firstLine="667" w:firstLineChars="200"/>
        <w:jc w:val="both"/>
        <w:rPr>
          <w:rFonts w:ascii="仿宋_GB2312" w:hAnsi="仿宋_GB2312" w:eastAsia="仿宋_GB2312" w:cs="仿宋_GB2312"/>
          <w:spacing w:val="6"/>
          <w:sz w:val="32"/>
          <w:szCs w:val="32"/>
        </w:rPr>
      </w:pPr>
      <w:r>
        <w:rPr>
          <w:rFonts w:hint="eastAsia" w:ascii="楷体_GB2312" w:hAnsi="楷体_GB2312" w:eastAsia="楷体_GB2312" w:cs="楷体_GB2312"/>
          <w:b/>
          <w:bCs/>
          <w:spacing w:val="6"/>
          <w:sz w:val="32"/>
          <w:szCs w:val="32"/>
        </w:rPr>
        <w:t>（三）做好宣传引导。</w:t>
      </w:r>
      <w:r>
        <w:rPr>
          <w:rFonts w:hint="eastAsia" w:ascii="仿宋_GB2312" w:hAnsi="仿宋_GB2312" w:eastAsia="仿宋_GB2312" w:cs="仿宋_GB2312"/>
          <w:spacing w:val="6"/>
          <w:sz w:val="32"/>
          <w:szCs w:val="32"/>
        </w:rPr>
        <w:t>加大对优秀项目、典型案例的宣传力度，加强政策解读，让群众知晓城镇老旧小区改造对象、条件、标准和范围。同时，充分利用传统媒体和新兴媒体以及群众喜闻乐见的多种形式组织宣传，着力引导群众转变观念，形成社会各界支持、群众积极参与的浓厚氛围，不断增强群众的获得感、幸福感、安全感，奋力谱写陕西新时代追赶超越新篇章。</w:t>
      </w:r>
    </w:p>
    <w:p>
      <w:pPr>
        <w:pStyle w:val="9"/>
        <w:spacing w:before="0" w:beforeAutospacing="0" w:after="0" w:afterAutospacing="0" w:line="560" w:lineRule="exact"/>
        <w:ind w:firstLine="640" w:firstLineChars="200"/>
        <w:jc w:val="both"/>
        <w:rPr>
          <w:rFonts w:ascii="仿宋_GB2312" w:hAnsi="仿宋_GB2312" w:eastAsia="仿宋_GB2312" w:cs="仿宋_GB2312"/>
          <w:sz w:val="32"/>
          <w:szCs w:val="32"/>
        </w:rPr>
      </w:pPr>
    </w:p>
    <w:p>
      <w:pPr>
        <w:pStyle w:val="9"/>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附件：1.陕西省城镇老旧小区改造责任分工表</w:t>
      </w:r>
    </w:p>
    <w:p>
      <w:pPr>
        <w:pStyle w:val="9"/>
        <w:spacing w:before="0" w:beforeAutospacing="0" w:after="0" w:afterAutospacing="0" w:line="560" w:lineRule="exact"/>
        <w:ind w:firstLine="1600" w:firstLineChars="5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2.城镇老旧小区改造标准一览表</w:t>
      </w:r>
    </w:p>
    <w:p>
      <w:pPr>
        <w:pStyle w:val="9"/>
        <w:spacing w:before="0" w:beforeAutospacing="0" w:after="0" w:afterAutospacing="0" w:line="560" w:lineRule="exact"/>
        <w:ind w:firstLine="640" w:firstLineChars="200"/>
        <w:jc w:val="both"/>
        <w:rPr>
          <w:rFonts w:ascii="仿宋_GB2312" w:hAnsi="仿宋_GB2312" w:eastAsia="仿宋_GB2312" w:cs="仿宋_GB2312"/>
          <w:sz w:val="32"/>
          <w:szCs w:val="32"/>
        </w:rPr>
        <w:sectPr>
          <w:footerReference r:id="rId3" w:type="default"/>
          <w:footerReference r:id="rId4" w:type="even"/>
          <w:pgSz w:w="11906" w:h="16838"/>
          <w:pgMar w:top="1701" w:right="1588" w:bottom="1588" w:left="1588" w:header="851" w:footer="1021" w:gutter="0"/>
          <w:pgNumType w:fmt="numberInDash" w:start="1"/>
          <w:cols w:space="720" w:num="1"/>
          <w:docGrid w:type="lines" w:linePitch="312" w:charSpace="0"/>
        </w:sectPr>
      </w:pPr>
      <w:r>
        <w:rPr>
          <w:rFonts w:hint="eastAsia" w:ascii="仿宋_GB2312" w:hAnsi="仿宋_GB2312" w:eastAsia="仿宋_GB2312" w:cs="仿宋_GB2312"/>
          <w:sz w:val="32"/>
          <w:szCs w:val="32"/>
        </w:rPr>
        <w:t xml:space="preserve"> </w:t>
      </w:r>
    </w:p>
    <w:p>
      <w:pPr>
        <w:widowControl/>
        <w:spacing w:line="560" w:lineRule="exact"/>
        <w:jc w:val="left"/>
        <w:rPr>
          <w:rFonts w:hint="eastAsia" w:ascii="方正黑体简体" w:hAnsi="微软雅黑" w:eastAsia="方正黑体简体" w:cs="微软雅黑"/>
          <w:color w:val="000000"/>
          <w:sz w:val="32"/>
          <w:szCs w:val="32"/>
        </w:rPr>
      </w:pPr>
      <w:r>
        <w:rPr>
          <w:rFonts w:hint="eastAsia" w:ascii="方正黑体简体" w:hAnsi="微软雅黑" w:eastAsia="方正黑体简体" w:cs="微软雅黑"/>
          <w:color w:val="000000"/>
          <w:kern w:val="0"/>
          <w:sz w:val="32"/>
          <w:szCs w:val="32"/>
          <w:lang w:bidi="ar"/>
        </w:rPr>
        <w:t>附件1</w:t>
      </w:r>
    </w:p>
    <w:p>
      <w:pPr>
        <w:widowControl/>
        <w:spacing w:line="56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kern w:val="0"/>
          <w:sz w:val="44"/>
          <w:szCs w:val="44"/>
          <w:lang w:bidi="ar"/>
        </w:rPr>
        <w:t>陕西省城镇老旧小区改造责任分工表</w:t>
      </w:r>
    </w:p>
    <w:p>
      <w:pPr>
        <w:widowControl/>
        <w:spacing w:line="560" w:lineRule="exact"/>
        <w:jc w:val="left"/>
        <w:rPr>
          <w:rFonts w:ascii="微软雅黑" w:hAnsi="微软雅黑" w:eastAsia="微软雅黑" w:cs="微软雅黑"/>
          <w:color w:val="000000"/>
          <w:sz w:val="27"/>
          <w:szCs w:val="27"/>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30"/>
        <w:gridCol w:w="10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top"/>
          </w:tcPr>
          <w:p>
            <w:pPr>
              <w:pStyle w:val="9"/>
              <w:spacing w:before="0" w:beforeAutospacing="0" w:after="62" w:afterLines="20" w:afterAutospacing="0" w:line="560" w:lineRule="exact"/>
              <w:jc w:val="center"/>
              <w:rPr>
                <w:rFonts w:hint="eastAsia" w:ascii="方正黑体简体" w:hAnsi="黑体" w:eastAsia="方正黑体简体" w:cs="黑体"/>
                <w:sz w:val="32"/>
                <w:szCs w:val="32"/>
              </w:rPr>
            </w:pPr>
            <w:r>
              <w:rPr>
                <w:rFonts w:hint="eastAsia" w:ascii="方正黑体简体" w:hAnsi="黑体" w:eastAsia="方正黑体简体" w:cs="黑体"/>
                <w:sz w:val="32"/>
                <w:szCs w:val="32"/>
              </w:rPr>
              <w:t>部 门</w:t>
            </w:r>
          </w:p>
        </w:tc>
        <w:tc>
          <w:tcPr>
            <w:tcW w:w="3667" w:type="pct"/>
            <w:noWrap w:val="0"/>
            <w:vAlign w:val="top"/>
          </w:tcPr>
          <w:p>
            <w:pPr>
              <w:pStyle w:val="9"/>
              <w:spacing w:before="0" w:beforeAutospacing="0" w:after="62" w:afterLines="20" w:afterAutospacing="0" w:line="560" w:lineRule="exact"/>
              <w:jc w:val="center"/>
              <w:rPr>
                <w:rFonts w:hint="eastAsia" w:ascii="方正黑体简体" w:hAnsi="黑体" w:eastAsia="方正黑体简体" w:cs="黑体"/>
                <w:sz w:val="32"/>
                <w:szCs w:val="32"/>
              </w:rPr>
            </w:pPr>
            <w:r>
              <w:rPr>
                <w:rFonts w:hint="eastAsia" w:ascii="方正黑体简体" w:hAnsi="黑体" w:eastAsia="方正黑体简体" w:cs="黑体"/>
                <w:sz w:val="32"/>
                <w:szCs w:val="32"/>
              </w:rPr>
              <w:t>责任分工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0" w:hRule="atLeast"/>
        </w:trPr>
        <w:tc>
          <w:tcPr>
            <w:tcW w:w="1333" w:type="pct"/>
            <w:noWrap w:val="0"/>
            <w:vAlign w:val="center"/>
          </w:tcPr>
          <w:p>
            <w:pPr>
              <w:pStyle w:val="9"/>
              <w:spacing w:before="0" w:beforeAutospacing="0" w:after="0" w:afterAutospacing="0" w:line="50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省住房城乡建设厅</w:t>
            </w:r>
          </w:p>
        </w:tc>
        <w:tc>
          <w:tcPr>
            <w:tcW w:w="3667" w:type="pct"/>
            <w:noWrap w:val="0"/>
            <w:vAlign w:val="top"/>
          </w:tcPr>
          <w:p>
            <w:pPr>
              <w:pStyle w:val="9"/>
              <w:spacing w:before="0" w:beforeAutospacing="0" w:after="0" w:afterAutospacing="0" w:line="50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牵头全省城镇老旧小区改造工作，负责会同省发展改革委、省财政厅指导各市（区）编制年度城镇老旧小区改造工作计划，切实担负起组织协调和督促指导责任，对城镇老旧小区改造项目进行绩效管理。牵头负责“美好环境与幸福生活共同缔造”活动，负责城镇老旧小区市政基础设施、无障碍设施、停车场（库）、物业用房、环境品质提升等改造指导，负责老旧小区违法建设拆除执法工作，指导开展生活垃圾分类收集、拆墙透绿。负责建筑物公共部位维修、建筑节能改造、加装电梯指导工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85" w:hRule="atLeast"/>
        </w:trPr>
        <w:tc>
          <w:tcPr>
            <w:tcW w:w="1333" w:type="pct"/>
            <w:noWrap w:val="0"/>
            <w:vAlign w:val="center"/>
          </w:tcPr>
          <w:p>
            <w:pPr>
              <w:pStyle w:val="9"/>
              <w:spacing w:before="0" w:beforeAutospacing="0" w:after="0" w:afterAutospacing="0" w:line="50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省发展改革委</w:t>
            </w:r>
          </w:p>
        </w:tc>
        <w:tc>
          <w:tcPr>
            <w:tcW w:w="3667" w:type="pct"/>
            <w:noWrap w:val="0"/>
            <w:vAlign w:val="top"/>
          </w:tcPr>
          <w:p>
            <w:pPr>
              <w:pStyle w:val="9"/>
              <w:spacing w:before="62" w:beforeLines="20" w:beforeAutospacing="0" w:after="0" w:afterAutospacing="0" w:line="50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负责全省城镇老旧小区改造有关立项工作的指导，中央预算内投资计划申报、中央预算内投资分配和绩效管理、地方政府专项债券项目申报等指导工作。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0" w:afterAutospacing="0" w:line="50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省财政厅</w:t>
            </w:r>
          </w:p>
        </w:tc>
        <w:tc>
          <w:tcPr>
            <w:tcW w:w="3667" w:type="pct"/>
            <w:noWrap w:val="0"/>
            <w:vAlign w:val="top"/>
          </w:tcPr>
          <w:p>
            <w:pPr>
              <w:pStyle w:val="9"/>
              <w:spacing w:before="0" w:beforeAutospacing="0" w:after="0" w:afterAutospacing="0" w:line="50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老旧小区改造专项资金中期规划和年度预算编制，确定专项资金分配方案、下达专项资金预算，对专项资金的使用管理情况进行监督和绩效再评价，地方政府专项债券发行指导，会同有关部门负责税费减免政策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top"/>
          </w:tcPr>
          <w:p>
            <w:pPr>
              <w:pStyle w:val="9"/>
              <w:spacing w:before="0" w:beforeAutospacing="0" w:after="62" w:afterLines="20" w:afterAutospacing="0" w:line="560" w:lineRule="exact"/>
              <w:jc w:val="center"/>
              <w:rPr>
                <w:rFonts w:hint="eastAsia" w:ascii="方正黑体简体" w:hAnsi="黑体" w:eastAsia="方正黑体简体" w:cs="黑体"/>
                <w:sz w:val="32"/>
                <w:szCs w:val="32"/>
              </w:rPr>
            </w:pPr>
            <w:r>
              <w:rPr>
                <w:rFonts w:hint="eastAsia" w:ascii="方正黑体简体" w:hAnsi="黑体" w:eastAsia="方正黑体简体" w:cs="黑体"/>
                <w:sz w:val="32"/>
                <w:szCs w:val="32"/>
              </w:rPr>
              <w:t>部 门</w:t>
            </w:r>
          </w:p>
        </w:tc>
        <w:tc>
          <w:tcPr>
            <w:tcW w:w="3667" w:type="pct"/>
            <w:noWrap w:val="0"/>
            <w:vAlign w:val="top"/>
          </w:tcPr>
          <w:p>
            <w:pPr>
              <w:pStyle w:val="9"/>
              <w:spacing w:before="0" w:beforeAutospacing="0" w:after="62" w:afterLines="20" w:afterAutospacing="0" w:line="560" w:lineRule="exact"/>
              <w:jc w:val="center"/>
              <w:rPr>
                <w:rFonts w:hint="eastAsia" w:ascii="方正黑体简体" w:hAnsi="黑体" w:eastAsia="方正黑体简体" w:cs="黑体"/>
                <w:sz w:val="32"/>
                <w:szCs w:val="32"/>
              </w:rPr>
            </w:pPr>
            <w:r>
              <w:rPr>
                <w:rFonts w:hint="eastAsia" w:ascii="方正黑体简体" w:hAnsi="黑体" w:eastAsia="方正黑体简体" w:cs="黑体"/>
                <w:sz w:val="32"/>
                <w:szCs w:val="32"/>
              </w:rPr>
              <w:t>责任分工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31" w:afterLines="1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省自然资源厅</w:t>
            </w:r>
          </w:p>
        </w:tc>
        <w:tc>
          <w:tcPr>
            <w:tcW w:w="3667" w:type="pct"/>
            <w:noWrap w:val="0"/>
            <w:vAlign w:val="top"/>
          </w:tcPr>
          <w:p>
            <w:pPr>
              <w:pStyle w:val="9"/>
              <w:spacing w:before="0" w:beforeAutospacing="0" w:after="31" w:afterLines="10" w:afterAutospacing="0" w:line="54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负责简化优化老旧小区用地及规划许可、设施改造等指导工作。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82" w:hRule="atLeast"/>
        </w:trPr>
        <w:tc>
          <w:tcPr>
            <w:tcW w:w="1333" w:type="pct"/>
            <w:noWrap w:val="0"/>
            <w:vAlign w:val="center"/>
          </w:tcPr>
          <w:p>
            <w:pPr>
              <w:pStyle w:val="9"/>
              <w:spacing w:before="0" w:beforeAutospacing="0" w:after="31" w:afterLines="1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省教育厅</w:t>
            </w:r>
          </w:p>
        </w:tc>
        <w:tc>
          <w:tcPr>
            <w:tcW w:w="3667" w:type="pct"/>
            <w:noWrap w:val="0"/>
            <w:vAlign w:val="top"/>
          </w:tcPr>
          <w:p>
            <w:pPr>
              <w:pStyle w:val="9"/>
              <w:spacing w:before="0" w:beforeAutospacing="0" w:after="31" w:afterLines="10" w:afterAutospacing="0" w:line="54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负责城镇老旧小区幼儿园改造建设指导工作。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95" w:hRule="atLeast"/>
        </w:trPr>
        <w:tc>
          <w:tcPr>
            <w:tcW w:w="1333" w:type="pct"/>
            <w:noWrap w:val="0"/>
            <w:vAlign w:val="center"/>
          </w:tcPr>
          <w:p>
            <w:pPr>
              <w:pStyle w:val="9"/>
              <w:spacing w:before="0" w:beforeAutospacing="0" w:after="31" w:afterLines="1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省公安厅</w:t>
            </w:r>
          </w:p>
        </w:tc>
        <w:tc>
          <w:tcPr>
            <w:tcW w:w="3667" w:type="pct"/>
            <w:noWrap w:val="0"/>
            <w:vAlign w:val="top"/>
          </w:tcPr>
          <w:p>
            <w:pPr>
              <w:pStyle w:val="9"/>
              <w:spacing w:before="0" w:beforeAutospacing="0" w:after="31" w:afterLines="10" w:afterAutospacing="0" w:line="54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负责城镇老旧小区智慧安防设施改造建设指导工作。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31" w:afterLines="1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省民政厅</w:t>
            </w:r>
          </w:p>
        </w:tc>
        <w:tc>
          <w:tcPr>
            <w:tcW w:w="3667" w:type="pct"/>
            <w:noWrap w:val="0"/>
            <w:vAlign w:val="top"/>
          </w:tcPr>
          <w:p>
            <w:pPr>
              <w:pStyle w:val="9"/>
              <w:spacing w:before="0" w:beforeAutospacing="0" w:after="31" w:afterLines="10" w:afterAutospacing="0" w:line="50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负责城镇老旧小区养老（助餐）设施、社区综合服务站改造、适老化设施改造建设指导工作，负责指导社区成立居民自治组织，参与老旧小区改造及后续管理。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30" w:hRule="atLeast"/>
        </w:trPr>
        <w:tc>
          <w:tcPr>
            <w:tcW w:w="1333" w:type="pct"/>
            <w:noWrap w:val="0"/>
            <w:vAlign w:val="center"/>
          </w:tcPr>
          <w:p>
            <w:pPr>
              <w:pStyle w:val="9"/>
              <w:spacing w:before="0" w:beforeAutospacing="0" w:after="31" w:afterLines="1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省审计厅</w:t>
            </w:r>
          </w:p>
        </w:tc>
        <w:tc>
          <w:tcPr>
            <w:tcW w:w="3667" w:type="pct"/>
            <w:noWrap w:val="0"/>
            <w:vAlign w:val="top"/>
          </w:tcPr>
          <w:p>
            <w:pPr>
              <w:pStyle w:val="9"/>
              <w:spacing w:before="0" w:beforeAutospacing="0" w:after="31" w:afterLines="10" w:afterAutospacing="0" w:line="54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负责加强对改造项目的审计监督，及时揭示存在的问题，督促整改完善指导工作。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31" w:afterLines="1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省商务厅</w:t>
            </w:r>
          </w:p>
        </w:tc>
        <w:tc>
          <w:tcPr>
            <w:tcW w:w="3667" w:type="pct"/>
            <w:noWrap w:val="0"/>
            <w:vAlign w:val="top"/>
          </w:tcPr>
          <w:p>
            <w:pPr>
              <w:pStyle w:val="9"/>
              <w:spacing w:before="0" w:beforeAutospacing="0" w:after="31" w:afterLines="10" w:afterAutospacing="0" w:line="54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负责城镇老旧小区便利店、便民市场、家政保洁设施等改造建设指导工作。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31" w:afterLines="1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省文化和旅游厅</w:t>
            </w:r>
          </w:p>
        </w:tc>
        <w:tc>
          <w:tcPr>
            <w:tcW w:w="3667" w:type="pct"/>
            <w:noWrap w:val="0"/>
            <w:vAlign w:val="top"/>
          </w:tcPr>
          <w:p>
            <w:pPr>
              <w:pStyle w:val="9"/>
              <w:spacing w:before="0" w:beforeAutospacing="0" w:after="31" w:afterLines="10" w:afterAutospacing="0" w:line="54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负责文化休闲设施改造建设指导工作。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31" w:afterLines="1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省卫生健康委</w:t>
            </w:r>
          </w:p>
        </w:tc>
        <w:tc>
          <w:tcPr>
            <w:tcW w:w="3667" w:type="pct"/>
            <w:noWrap w:val="0"/>
            <w:vAlign w:val="top"/>
          </w:tcPr>
          <w:p>
            <w:pPr>
              <w:pStyle w:val="9"/>
              <w:spacing w:before="0" w:beforeAutospacing="0" w:after="31" w:afterLines="10" w:afterAutospacing="0" w:line="54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负责医疗、托育服务设施改造建设指导工作。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31" w:afterLines="1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省委宣传部</w:t>
            </w:r>
          </w:p>
        </w:tc>
        <w:tc>
          <w:tcPr>
            <w:tcW w:w="3667" w:type="pct"/>
            <w:noWrap w:val="0"/>
            <w:vAlign w:val="top"/>
          </w:tcPr>
          <w:p>
            <w:pPr>
              <w:pStyle w:val="9"/>
              <w:spacing w:before="0" w:beforeAutospacing="0" w:after="31" w:afterLines="10" w:afterAutospacing="0" w:line="54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负责做好城镇老旧小区改造政策宣传指导工作。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31" w:afterLines="1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省退役军人事务厅</w:t>
            </w:r>
          </w:p>
        </w:tc>
        <w:tc>
          <w:tcPr>
            <w:tcW w:w="3667" w:type="pct"/>
            <w:noWrap w:val="0"/>
            <w:vAlign w:val="top"/>
          </w:tcPr>
          <w:p>
            <w:pPr>
              <w:pStyle w:val="9"/>
              <w:spacing w:before="0" w:beforeAutospacing="0" w:after="31" w:afterLines="10" w:afterAutospacing="0" w:line="54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负责移交政府安置的军队离退休干部住宅小区改造协调、指导工作。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31" w:afterLines="1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省委军民融合办</w:t>
            </w:r>
          </w:p>
        </w:tc>
        <w:tc>
          <w:tcPr>
            <w:tcW w:w="3667" w:type="pct"/>
            <w:noWrap w:val="0"/>
            <w:vAlign w:val="top"/>
          </w:tcPr>
          <w:p>
            <w:pPr>
              <w:pStyle w:val="9"/>
              <w:spacing w:before="0" w:beforeAutospacing="0" w:after="31" w:afterLines="10" w:afterAutospacing="0" w:line="54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负责军队城镇老旧小区改造协调、指导工作。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30" w:hRule="atLeast"/>
        </w:trPr>
        <w:tc>
          <w:tcPr>
            <w:tcW w:w="1333" w:type="pct"/>
            <w:noWrap w:val="0"/>
            <w:vAlign w:val="center"/>
          </w:tcPr>
          <w:p>
            <w:pPr>
              <w:pStyle w:val="9"/>
              <w:spacing w:before="0" w:beforeAutospacing="0" w:after="31" w:afterLines="1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省国资委</w:t>
            </w:r>
          </w:p>
        </w:tc>
        <w:tc>
          <w:tcPr>
            <w:tcW w:w="3667" w:type="pct"/>
            <w:noWrap w:val="0"/>
            <w:vAlign w:val="top"/>
          </w:tcPr>
          <w:p>
            <w:pPr>
              <w:pStyle w:val="9"/>
              <w:spacing w:before="0" w:beforeAutospacing="0" w:after="31" w:afterLines="10" w:afterAutospacing="0" w:line="54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负责在行业有关部门的统筹指导下，做好相关配合、协调工作。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94" w:hRule="atLeast"/>
        </w:trPr>
        <w:tc>
          <w:tcPr>
            <w:tcW w:w="1333" w:type="pct"/>
            <w:noWrap w:val="0"/>
            <w:vAlign w:val="center"/>
          </w:tcPr>
          <w:p>
            <w:pPr>
              <w:pStyle w:val="9"/>
              <w:spacing w:before="0" w:beforeAutospacing="0" w:after="62" w:afterLines="20" w:afterAutospacing="0" w:line="54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省消防救援总队</w:t>
            </w:r>
          </w:p>
        </w:tc>
        <w:tc>
          <w:tcPr>
            <w:tcW w:w="3667" w:type="pct"/>
            <w:noWrap w:val="0"/>
            <w:vAlign w:val="center"/>
          </w:tcPr>
          <w:p>
            <w:pPr>
              <w:pStyle w:val="9"/>
              <w:spacing w:before="0" w:beforeAutospacing="0" w:after="62" w:afterLines="20" w:afterAutospacing="0" w:line="54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负责城镇老旧小区消防设施改造指导工作。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top"/>
          </w:tcPr>
          <w:p>
            <w:pPr>
              <w:pStyle w:val="9"/>
              <w:spacing w:before="0" w:beforeAutospacing="0" w:after="31" w:afterLines="10" w:afterAutospacing="0" w:line="560" w:lineRule="exact"/>
              <w:jc w:val="center"/>
              <w:rPr>
                <w:rFonts w:hint="eastAsia" w:ascii="方正黑体简体" w:hAnsi="黑体" w:eastAsia="方正黑体简体" w:cs="黑体"/>
                <w:sz w:val="32"/>
                <w:szCs w:val="32"/>
              </w:rPr>
            </w:pPr>
            <w:r>
              <w:rPr>
                <w:rFonts w:hint="eastAsia" w:ascii="方正黑体简体" w:hAnsi="黑体" w:eastAsia="方正黑体简体" w:cs="黑体"/>
                <w:sz w:val="32"/>
                <w:szCs w:val="32"/>
              </w:rPr>
              <w:t>部 门</w:t>
            </w:r>
          </w:p>
        </w:tc>
        <w:tc>
          <w:tcPr>
            <w:tcW w:w="3667" w:type="pct"/>
            <w:noWrap w:val="0"/>
            <w:vAlign w:val="top"/>
          </w:tcPr>
          <w:p>
            <w:pPr>
              <w:pStyle w:val="9"/>
              <w:spacing w:before="0" w:beforeAutospacing="0" w:after="31" w:afterLines="10" w:afterAutospacing="0" w:line="560" w:lineRule="exact"/>
              <w:jc w:val="center"/>
              <w:rPr>
                <w:rFonts w:hint="eastAsia" w:ascii="方正黑体简体" w:hAnsi="黑体" w:eastAsia="方正黑体简体" w:cs="黑体"/>
                <w:sz w:val="32"/>
                <w:szCs w:val="32"/>
              </w:rPr>
            </w:pPr>
            <w:r>
              <w:rPr>
                <w:rFonts w:hint="eastAsia" w:ascii="方正黑体简体" w:hAnsi="黑体" w:eastAsia="方正黑体简体" w:cs="黑体"/>
                <w:sz w:val="32"/>
                <w:szCs w:val="32"/>
              </w:rPr>
              <w:t>责任分工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0" w:afterAutospacing="0" w:line="50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省市场监管局</w:t>
            </w:r>
          </w:p>
        </w:tc>
        <w:tc>
          <w:tcPr>
            <w:tcW w:w="3667" w:type="pct"/>
            <w:noWrap w:val="0"/>
            <w:vAlign w:val="top"/>
          </w:tcPr>
          <w:p>
            <w:pPr>
              <w:pStyle w:val="9"/>
              <w:spacing w:before="0" w:beforeAutospacing="0" w:after="0" w:afterAutospacing="0" w:line="50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负责城镇老旧小区电梯安全评估及电梯加装指导工作，配合做好电梯的大修、改造、更新指导工作。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0" w:afterAutospacing="0" w:line="50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省体育局</w:t>
            </w:r>
          </w:p>
        </w:tc>
        <w:tc>
          <w:tcPr>
            <w:tcW w:w="3667" w:type="pct"/>
            <w:noWrap w:val="0"/>
            <w:vAlign w:val="top"/>
          </w:tcPr>
          <w:p>
            <w:pPr>
              <w:pStyle w:val="9"/>
              <w:spacing w:before="0" w:beforeAutospacing="0" w:after="0" w:afterAutospacing="0" w:line="50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负责城镇老旧小区体育健身设施改造建设指导工作。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0" w:afterAutospacing="0" w:line="50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省机关事务服务中心</w:t>
            </w:r>
          </w:p>
        </w:tc>
        <w:tc>
          <w:tcPr>
            <w:tcW w:w="3667" w:type="pct"/>
            <w:noWrap w:val="0"/>
            <w:vAlign w:val="top"/>
          </w:tcPr>
          <w:p>
            <w:pPr>
              <w:pStyle w:val="9"/>
              <w:spacing w:before="0" w:beforeAutospacing="0" w:after="0" w:afterAutospacing="0" w:line="50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负责省直机关统一管理的城镇老旧小区改造协调、指导工作。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0" w:afterAutospacing="0" w:line="50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省地方金融监管局</w:t>
            </w:r>
          </w:p>
        </w:tc>
        <w:tc>
          <w:tcPr>
            <w:tcW w:w="3667" w:type="pct"/>
            <w:noWrap w:val="0"/>
            <w:vAlign w:val="top"/>
          </w:tcPr>
          <w:p>
            <w:pPr>
              <w:pStyle w:val="9"/>
              <w:spacing w:before="0" w:beforeAutospacing="0" w:after="0" w:afterAutospacing="0" w:line="50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负责城镇老旧小区改造涉金融机构融资服务指导工作。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0" w:afterAutospacing="0" w:line="50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省通信管理局</w:t>
            </w:r>
          </w:p>
        </w:tc>
        <w:tc>
          <w:tcPr>
            <w:tcW w:w="3667" w:type="pct"/>
            <w:noWrap w:val="0"/>
            <w:vAlign w:val="top"/>
          </w:tcPr>
          <w:p>
            <w:pPr>
              <w:pStyle w:val="9"/>
              <w:spacing w:before="0" w:beforeAutospacing="0" w:after="0" w:afterAutospacing="0" w:line="50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负责城镇老旧小区光纤入户、架空线规整（入地）、移动通信设施改造指导工作。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0" w:afterAutospacing="0" w:line="50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省邮政管理局</w:t>
            </w:r>
          </w:p>
        </w:tc>
        <w:tc>
          <w:tcPr>
            <w:tcW w:w="3667" w:type="pct"/>
            <w:noWrap w:val="0"/>
            <w:vAlign w:val="top"/>
          </w:tcPr>
          <w:p>
            <w:pPr>
              <w:pStyle w:val="9"/>
              <w:spacing w:before="0" w:beforeAutospacing="0" w:after="0" w:afterAutospacing="0" w:line="50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负责城镇老旧小区智能快件箱（智能信包箱）、邮政快递末端综合服务站改造建设指导工作。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333" w:type="pct"/>
            <w:noWrap w:val="0"/>
            <w:vAlign w:val="center"/>
          </w:tcPr>
          <w:p>
            <w:pPr>
              <w:pStyle w:val="9"/>
              <w:spacing w:before="0" w:beforeAutospacing="0" w:after="0" w:afterAutospacing="0" w:line="50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国家开发银行陕西省分行</w:t>
            </w:r>
          </w:p>
          <w:p>
            <w:pPr>
              <w:pStyle w:val="9"/>
              <w:spacing w:before="0" w:beforeAutospacing="0" w:after="0" w:afterAutospacing="0" w:line="500" w:lineRule="exact"/>
              <w:jc w:val="center"/>
              <w:rPr>
                <w:rFonts w:hint="eastAsia" w:ascii="仿宋_GB2312" w:hAnsi="新宋体" w:eastAsia="仿宋_GB2312" w:cs="新宋体"/>
                <w:sz w:val="28"/>
                <w:szCs w:val="28"/>
              </w:rPr>
            </w:pPr>
            <w:r>
              <w:rPr>
                <w:rFonts w:hint="eastAsia" w:ascii="仿宋_GB2312" w:hAnsi="新宋体" w:eastAsia="仿宋_GB2312" w:cs="新宋体"/>
                <w:sz w:val="28"/>
                <w:szCs w:val="28"/>
              </w:rPr>
              <w:t>农业发展银行陕西省分行</w:t>
            </w:r>
          </w:p>
        </w:tc>
        <w:tc>
          <w:tcPr>
            <w:tcW w:w="3667" w:type="pct"/>
            <w:noWrap w:val="0"/>
            <w:vAlign w:val="center"/>
          </w:tcPr>
          <w:p>
            <w:pPr>
              <w:pStyle w:val="9"/>
              <w:spacing w:before="0" w:beforeAutospacing="0" w:after="0" w:afterAutospacing="0" w:line="500" w:lineRule="exact"/>
              <w:jc w:val="both"/>
              <w:rPr>
                <w:rFonts w:hint="eastAsia" w:ascii="仿宋_GB2312" w:hAnsi="新宋体" w:eastAsia="仿宋_GB2312" w:cs="新宋体"/>
                <w:sz w:val="28"/>
                <w:szCs w:val="28"/>
              </w:rPr>
            </w:pPr>
            <w:r>
              <w:rPr>
                <w:rFonts w:hint="eastAsia" w:ascii="仿宋_GB2312" w:hAnsi="新宋体" w:eastAsia="仿宋_GB2312" w:cs="新宋体"/>
                <w:sz w:val="28"/>
                <w:szCs w:val="28"/>
              </w:rPr>
              <w:t>负责城镇老旧小区改造政策性贷款指导工作。</w:t>
            </w:r>
          </w:p>
        </w:tc>
      </w:tr>
    </w:tbl>
    <w:p>
      <w:pPr>
        <w:pStyle w:val="9"/>
        <w:spacing w:before="0" w:beforeAutospacing="0" w:after="0" w:afterAutospacing="0" w:line="560" w:lineRule="exact"/>
        <w:ind w:firstLine="640" w:firstLineChars="200"/>
        <w:jc w:val="both"/>
        <w:rPr>
          <w:rFonts w:ascii="仿宋_GB2312" w:hAnsi="仿宋_GB2312" w:eastAsia="仿宋_GB2312" w:cs="仿宋_GB2312"/>
          <w:sz w:val="32"/>
          <w:szCs w:val="32"/>
        </w:rPr>
      </w:pPr>
    </w:p>
    <w:p>
      <w:pPr>
        <w:pStyle w:val="9"/>
        <w:spacing w:before="0" w:beforeAutospacing="0" w:after="0" w:afterAutospacing="0" w:line="560" w:lineRule="exact"/>
        <w:ind w:firstLine="640" w:firstLineChars="200"/>
        <w:jc w:val="both"/>
        <w:rPr>
          <w:rFonts w:ascii="仿宋_GB2312" w:hAnsi="仿宋_GB2312" w:eastAsia="仿宋_GB2312" w:cs="仿宋_GB2312"/>
          <w:sz w:val="32"/>
          <w:szCs w:val="32"/>
        </w:rPr>
      </w:pPr>
    </w:p>
    <w:p>
      <w:pPr>
        <w:pStyle w:val="9"/>
        <w:spacing w:before="0" w:beforeAutospacing="0" w:after="0" w:afterAutospacing="0" w:line="560" w:lineRule="exact"/>
        <w:jc w:val="both"/>
        <w:rPr>
          <w:rFonts w:ascii="仿宋_GB2312" w:hAnsi="仿宋_GB2312" w:eastAsia="仿宋_GB2312" w:cs="仿宋_GB2312"/>
          <w:sz w:val="32"/>
          <w:szCs w:val="32"/>
        </w:rPr>
        <w:sectPr>
          <w:footerReference r:id="rId5" w:type="default"/>
          <w:footerReference r:id="rId6" w:type="even"/>
          <w:pgSz w:w="16838" w:h="11906" w:orient="landscape"/>
          <w:pgMar w:top="1588" w:right="1531" w:bottom="1588" w:left="1531" w:header="851" w:footer="992" w:gutter="0"/>
          <w:pgNumType w:fmt="numberInDash"/>
          <w:cols w:space="720" w:num="1"/>
          <w:docGrid w:type="lines" w:linePitch="312" w:charSpace="0"/>
        </w:sectPr>
      </w:pPr>
    </w:p>
    <w:p>
      <w:pPr>
        <w:widowControl/>
        <w:spacing w:line="500" w:lineRule="exact"/>
        <w:jc w:val="left"/>
        <w:rPr>
          <w:rFonts w:hint="eastAsia" w:ascii="方正黑体简体" w:hAnsi="微软雅黑" w:eastAsia="方正黑体简体" w:cs="微软雅黑"/>
          <w:color w:val="000000"/>
          <w:sz w:val="32"/>
          <w:szCs w:val="32"/>
        </w:rPr>
      </w:pPr>
      <w:r>
        <w:rPr>
          <w:rFonts w:hint="eastAsia" w:ascii="方正黑体简体" w:hAnsi="微软雅黑" w:eastAsia="方正黑体简体" w:cs="微软雅黑"/>
          <w:color w:val="000000"/>
          <w:kern w:val="0"/>
          <w:sz w:val="32"/>
          <w:szCs w:val="32"/>
          <w:lang w:bidi="ar"/>
        </w:rPr>
        <w:t>附件2</w:t>
      </w:r>
    </w:p>
    <w:p>
      <w:pPr>
        <w:pStyle w:val="9"/>
        <w:spacing w:before="0" w:beforeAutospacing="0" w:after="0" w:afterAutospacing="0" w:line="500" w:lineRule="exact"/>
        <w:jc w:val="center"/>
        <w:rPr>
          <w:rFonts w:ascii="方正小标宋简体" w:hAnsi="方正小标宋简体" w:eastAsia="方正小标宋简体" w:cs="方正小标宋简体"/>
          <w:color w:val="000000"/>
          <w:sz w:val="44"/>
          <w:szCs w:val="44"/>
          <w:lang w:bidi="ar"/>
        </w:rPr>
      </w:pPr>
      <w:r>
        <w:rPr>
          <w:rFonts w:hint="eastAsia" w:ascii="方正小标宋简体" w:hAnsi="方正小标宋简体" w:eastAsia="方正小标宋简体" w:cs="方正小标宋简体"/>
          <w:color w:val="000000"/>
          <w:sz w:val="44"/>
          <w:szCs w:val="44"/>
          <w:lang w:bidi="ar"/>
        </w:rPr>
        <w:t>城镇老旧小区改造标准一览表</w:t>
      </w:r>
    </w:p>
    <w:tbl>
      <w:tblPr>
        <w:tblStyle w:val="11"/>
        <w:tblW w:w="15060" w:type="dxa"/>
        <w:jc w:val="center"/>
        <w:tblLayout w:type="autofit"/>
        <w:tblCellMar>
          <w:top w:w="0" w:type="dxa"/>
          <w:left w:w="0" w:type="dxa"/>
          <w:bottom w:w="0" w:type="dxa"/>
          <w:right w:w="0" w:type="dxa"/>
        </w:tblCellMar>
      </w:tblPr>
      <w:tblGrid>
        <w:gridCol w:w="815"/>
        <w:gridCol w:w="570"/>
        <w:gridCol w:w="1667"/>
        <w:gridCol w:w="34"/>
        <w:gridCol w:w="6400"/>
        <w:gridCol w:w="7"/>
        <w:gridCol w:w="340"/>
        <w:gridCol w:w="5151"/>
        <w:gridCol w:w="76"/>
      </w:tblGrid>
      <w:tr>
        <w:tblPrEx>
          <w:tblCellMar>
            <w:top w:w="0" w:type="dxa"/>
            <w:left w:w="0" w:type="dxa"/>
            <w:bottom w:w="0" w:type="dxa"/>
            <w:right w:w="0" w:type="dxa"/>
          </w:tblCellMar>
        </w:tblPrEx>
        <w:trPr>
          <w:gridAfter w:val="1"/>
          <w:wBefore w:w="0" w:type="dxa"/>
          <w:wAfter w:w="76" w:type="dxa"/>
          <w:trHeight w:val="385" w:hRule="atLeast"/>
          <w:jc w:val="center"/>
        </w:trPr>
        <w:tc>
          <w:tcPr>
            <w:tcW w:w="3086" w:type="dxa"/>
            <w:gridSpan w:val="4"/>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b/>
                <w:bCs/>
                <w:szCs w:val="21"/>
              </w:rPr>
              <w:t>改造内容</w:t>
            </w: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b/>
                <w:bCs/>
                <w:szCs w:val="21"/>
              </w:rPr>
              <w:t>改造要求</w:t>
            </w:r>
          </w:p>
        </w:tc>
        <w:tc>
          <w:tcPr>
            <w:tcW w:w="5491"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b/>
                <w:bCs/>
                <w:szCs w:val="21"/>
              </w:rPr>
              <w:t>改造标准</w:t>
            </w:r>
          </w:p>
        </w:tc>
      </w:tr>
      <w:tr>
        <w:tblPrEx>
          <w:tblCellMar>
            <w:top w:w="0" w:type="dxa"/>
            <w:left w:w="0" w:type="dxa"/>
            <w:bottom w:w="0" w:type="dxa"/>
            <w:right w:w="0" w:type="dxa"/>
          </w:tblCellMar>
        </w:tblPrEx>
        <w:trPr>
          <w:gridAfter w:val="1"/>
          <w:wBefore w:w="0" w:type="dxa"/>
          <w:wAfter w:w="76" w:type="dxa"/>
          <w:trHeight w:val="318" w:hRule="atLeast"/>
          <w:jc w:val="center"/>
        </w:trPr>
        <w:tc>
          <w:tcPr>
            <w:tcW w:w="815"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b/>
                <w:bCs/>
                <w:szCs w:val="21"/>
              </w:rPr>
              <w:t>基</w:t>
            </w:r>
          </w:p>
          <w:p>
            <w:pPr>
              <w:jc w:val="center"/>
              <w:rPr>
                <w:szCs w:val="21"/>
              </w:rPr>
            </w:pPr>
            <w:r>
              <w:rPr>
                <w:b/>
                <w:bCs/>
                <w:szCs w:val="21"/>
              </w:rPr>
              <w:t>础</w:t>
            </w:r>
          </w:p>
          <w:p>
            <w:pPr>
              <w:jc w:val="center"/>
              <w:rPr>
                <w:szCs w:val="21"/>
              </w:rPr>
            </w:pPr>
            <w:r>
              <w:rPr>
                <w:b/>
                <w:bCs/>
                <w:szCs w:val="21"/>
              </w:rPr>
              <w:t>类</w:t>
            </w:r>
          </w:p>
        </w:tc>
        <w:tc>
          <w:tcPr>
            <w:tcW w:w="570"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1</w:t>
            </w:r>
          </w:p>
        </w:tc>
        <w:tc>
          <w:tcPr>
            <w:tcW w:w="1701" w:type="dxa"/>
            <w:gridSpan w:val="2"/>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道路整治</w:t>
            </w: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明确道路等级，优化路网，与城市道路交通系统有机衔接</w:t>
            </w:r>
          </w:p>
        </w:tc>
        <w:tc>
          <w:tcPr>
            <w:tcW w:w="5491" w:type="dxa"/>
            <w:gridSpan w:val="2"/>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ight="105" w:rightChars="50"/>
              <w:rPr>
                <w:szCs w:val="21"/>
              </w:rPr>
            </w:pPr>
            <w:r>
              <w:rPr>
                <w:szCs w:val="21"/>
              </w:rPr>
              <w:t>《城镇道路路面设计规范》CJJ169-2012</w:t>
            </w:r>
          </w:p>
          <w:p>
            <w:pPr>
              <w:spacing w:line="260" w:lineRule="exact"/>
              <w:ind w:left="105" w:leftChars="50" w:right="105" w:rightChars="50"/>
              <w:rPr>
                <w:szCs w:val="21"/>
              </w:rPr>
            </w:pPr>
            <w:r>
              <w:rPr>
                <w:szCs w:val="21"/>
              </w:rPr>
              <w:t>《城镇道路路基设计规范》 (CJJ 194-2013)</w:t>
            </w:r>
          </w:p>
          <w:p>
            <w:pPr>
              <w:spacing w:line="260" w:lineRule="exact"/>
              <w:ind w:left="105" w:leftChars="50" w:right="105" w:rightChars="50"/>
              <w:rPr>
                <w:szCs w:val="21"/>
              </w:rPr>
            </w:pPr>
            <w:r>
              <w:rPr>
                <w:szCs w:val="21"/>
              </w:rPr>
              <w:t>《城镇道路养护技术规范》CJJ36-2016</w:t>
            </w:r>
          </w:p>
          <w:p>
            <w:pPr>
              <w:spacing w:line="260" w:lineRule="exact"/>
              <w:ind w:left="105" w:leftChars="50" w:right="105" w:rightChars="50"/>
              <w:rPr>
                <w:szCs w:val="21"/>
              </w:rPr>
            </w:pPr>
            <w:r>
              <w:rPr>
                <w:szCs w:val="21"/>
              </w:rPr>
              <w:t>《无障碍设计规范》（GB 50763-2012)</w:t>
            </w:r>
          </w:p>
          <w:p>
            <w:pPr>
              <w:spacing w:line="260" w:lineRule="exact"/>
              <w:ind w:left="105" w:leftChars="50" w:right="105" w:rightChars="50"/>
              <w:rPr>
                <w:szCs w:val="21"/>
              </w:rPr>
            </w:pPr>
            <w:r>
              <w:rPr>
                <w:szCs w:val="21"/>
              </w:rPr>
              <w:t>《城市居住区规划设计标准》GB50180-2018</w:t>
            </w:r>
          </w:p>
        </w:tc>
      </w:tr>
      <w:tr>
        <w:tblPrEx>
          <w:tblCellMar>
            <w:top w:w="0" w:type="dxa"/>
            <w:left w:w="0" w:type="dxa"/>
            <w:bottom w:w="0" w:type="dxa"/>
            <w:right w:w="0" w:type="dxa"/>
          </w:tblCellMar>
        </w:tblPrEx>
        <w:trPr>
          <w:gridAfter w:val="1"/>
          <w:wBefore w:w="0" w:type="dxa"/>
          <w:wAfter w:w="76" w:type="dxa"/>
          <w:trHeight w:val="318"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满足安全通行及消防规范要求</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60" w:lineRule="exact"/>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202"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路面维修养护</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60" w:lineRule="exact"/>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318"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选用透水材质</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60" w:lineRule="exact"/>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42"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优化排水方式</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60" w:lineRule="exact"/>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88"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2</w:t>
            </w:r>
          </w:p>
        </w:tc>
        <w:tc>
          <w:tcPr>
            <w:tcW w:w="1701" w:type="dxa"/>
            <w:gridSpan w:val="2"/>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供排水设施改造</w:t>
            </w: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改造影响使用功能的老化供水管网管线及设施</w:t>
            </w:r>
          </w:p>
        </w:tc>
        <w:tc>
          <w:tcPr>
            <w:tcW w:w="5491" w:type="dxa"/>
            <w:gridSpan w:val="2"/>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ight="105" w:rightChars="50"/>
              <w:rPr>
                <w:szCs w:val="21"/>
              </w:rPr>
            </w:pPr>
            <w:r>
              <w:rPr>
                <w:szCs w:val="21"/>
              </w:rPr>
              <w:t>《城镇给水排水技术规范》GB50788-2012</w:t>
            </w:r>
          </w:p>
          <w:p>
            <w:pPr>
              <w:spacing w:line="260" w:lineRule="exact"/>
              <w:ind w:left="105" w:leftChars="50" w:right="105" w:rightChars="50"/>
              <w:rPr>
                <w:szCs w:val="21"/>
              </w:rPr>
            </w:pPr>
            <w:r>
              <w:rPr>
                <w:szCs w:val="21"/>
              </w:rPr>
              <w:t>《城市排水工程规划规范 GB50318-2017</w:t>
            </w:r>
          </w:p>
          <w:p>
            <w:pPr>
              <w:spacing w:line="260" w:lineRule="exact"/>
              <w:ind w:left="105" w:leftChars="50" w:right="105" w:rightChars="50"/>
              <w:rPr>
                <w:szCs w:val="21"/>
              </w:rPr>
            </w:pPr>
            <w:r>
              <w:rPr>
                <w:szCs w:val="21"/>
              </w:rPr>
              <w:t>《建筑给水排水设计标准》GB50015-2019</w:t>
            </w:r>
          </w:p>
          <w:p>
            <w:pPr>
              <w:spacing w:line="260" w:lineRule="exact"/>
              <w:ind w:left="105" w:leftChars="50" w:right="105" w:rightChars="50"/>
              <w:rPr>
                <w:szCs w:val="21"/>
              </w:rPr>
            </w:pPr>
            <w:r>
              <w:rPr>
                <w:szCs w:val="21"/>
              </w:rPr>
              <w:t>《民用建筑设计统一标准》 GB50352-2019</w:t>
            </w:r>
          </w:p>
          <w:p>
            <w:pPr>
              <w:spacing w:line="260" w:lineRule="exact"/>
              <w:ind w:left="105" w:leftChars="50" w:right="105" w:rightChars="50"/>
              <w:rPr>
                <w:szCs w:val="21"/>
              </w:rPr>
            </w:pPr>
            <w:r>
              <w:rPr>
                <w:szCs w:val="21"/>
              </w:rPr>
              <w:t>《室外排水设计规范》GB 50014-2006（2016年版）</w:t>
            </w:r>
          </w:p>
          <w:p>
            <w:pPr>
              <w:spacing w:line="260" w:lineRule="exact"/>
              <w:ind w:left="105" w:leftChars="50" w:right="105" w:rightChars="50"/>
              <w:rPr>
                <w:szCs w:val="21"/>
              </w:rPr>
            </w:pPr>
            <w:r>
              <w:rPr>
                <w:szCs w:val="21"/>
              </w:rPr>
              <w:t>《室外给水设计标准》GB 50013-2018</w:t>
            </w:r>
          </w:p>
        </w:tc>
      </w:tr>
      <w:tr>
        <w:tblPrEx>
          <w:tblCellMar>
            <w:top w:w="0" w:type="dxa"/>
            <w:left w:w="0" w:type="dxa"/>
            <w:bottom w:w="0" w:type="dxa"/>
            <w:right w:w="0" w:type="dxa"/>
          </w:tblCellMar>
        </w:tblPrEx>
        <w:trPr>
          <w:gridAfter w:val="1"/>
          <w:wBefore w:w="0" w:type="dxa"/>
          <w:wAfter w:w="76" w:type="dxa"/>
          <w:trHeight w:val="50"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管网改造应满足小区内全部用水要求</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60" w:lineRule="exact"/>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318"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供水、储配设备应具备安全防范措施</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60" w:lineRule="exact"/>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50"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用水应分户计量，分户水表宜相对集中读数</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60" w:lineRule="exact"/>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53"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改造影响使用功能的排水管道及附属设施，雨污分流改造</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60" w:lineRule="exact"/>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50"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改造化粪池，含油污水应经隔油处理后排入污水管道</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60" w:lineRule="exact"/>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190"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鼓励同步开展“直饮水”工程建设，推进中水和雨水资源循环利用</w:t>
            </w:r>
          </w:p>
        </w:tc>
        <w:tc>
          <w:tcPr>
            <w:tcW w:w="5491"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ight="105" w:rightChars="50"/>
              <w:rPr>
                <w:szCs w:val="21"/>
              </w:rPr>
            </w:pPr>
            <w:r>
              <w:rPr>
                <w:szCs w:val="21"/>
              </w:rPr>
              <w:t>《建筑与小区雨水控制及利用工程技术规范》GB50400-2016</w:t>
            </w:r>
          </w:p>
          <w:p>
            <w:pPr>
              <w:spacing w:line="260" w:lineRule="exact"/>
              <w:ind w:left="105" w:leftChars="50" w:right="105" w:rightChars="50"/>
              <w:rPr>
                <w:szCs w:val="21"/>
              </w:rPr>
            </w:pPr>
            <w:r>
              <w:rPr>
                <w:szCs w:val="21"/>
              </w:rPr>
              <w:t>《陕西省海绵城市规划设计导则》DBJ61/T 126-2017</w:t>
            </w:r>
          </w:p>
        </w:tc>
      </w:tr>
      <w:tr>
        <w:tblPrEx>
          <w:tblCellMar>
            <w:top w:w="0" w:type="dxa"/>
            <w:left w:w="0" w:type="dxa"/>
            <w:bottom w:w="0" w:type="dxa"/>
            <w:right w:w="0" w:type="dxa"/>
          </w:tblCellMar>
        </w:tblPrEx>
        <w:trPr>
          <w:gridAfter w:val="1"/>
          <w:wBefore w:w="0" w:type="dxa"/>
          <w:wAfter w:w="76" w:type="dxa"/>
          <w:trHeight w:val="86"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3</w:t>
            </w:r>
          </w:p>
        </w:tc>
        <w:tc>
          <w:tcPr>
            <w:tcW w:w="1701" w:type="dxa"/>
            <w:gridSpan w:val="2"/>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电力设施改造</w:t>
            </w: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考虑远期发展容量，供配电系统升级改造，保障电力供应</w:t>
            </w:r>
          </w:p>
        </w:tc>
        <w:tc>
          <w:tcPr>
            <w:tcW w:w="5491" w:type="dxa"/>
            <w:gridSpan w:val="2"/>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ight="105" w:rightChars="50"/>
              <w:rPr>
                <w:szCs w:val="21"/>
              </w:rPr>
            </w:pPr>
            <w:r>
              <w:rPr>
                <w:szCs w:val="21"/>
              </w:rPr>
              <w:t>《民用建筑电气设计标准》GB51348-2019</w:t>
            </w:r>
          </w:p>
          <w:p>
            <w:pPr>
              <w:spacing w:line="260" w:lineRule="exact"/>
              <w:ind w:left="105" w:leftChars="50" w:right="105" w:rightChars="50"/>
              <w:rPr>
                <w:szCs w:val="21"/>
              </w:rPr>
            </w:pPr>
            <w:r>
              <w:rPr>
                <w:szCs w:val="21"/>
              </w:rPr>
              <w:t>《住宅建筑电气设计规范》  JGJ242-2011</w:t>
            </w:r>
          </w:p>
          <w:p>
            <w:pPr>
              <w:spacing w:line="260" w:lineRule="exact"/>
              <w:ind w:left="105" w:leftChars="50" w:right="105" w:rightChars="50"/>
              <w:rPr>
                <w:szCs w:val="21"/>
              </w:rPr>
            </w:pPr>
            <w:r>
              <w:rPr>
                <w:szCs w:val="21"/>
              </w:rPr>
              <w:t>《电力工程电缆设计标准》 GB50217-2018</w:t>
            </w:r>
          </w:p>
          <w:p>
            <w:pPr>
              <w:spacing w:line="260" w:lineRule="exact"/>
              <w:ind w:left="105" w:leftChars="50" w:right="105" w:rightChars="50"/>
              <w:rPr>
                <w:szCs w:val="21"/>
              </w:rPr>
            </w:pPr>
            <w:r>
              <w:rPr>
                <w:szCs w:val="21"/>
              </w:rPr>
              <w:t>《居住区供配电系统技术规范》DB34/T1469-2019</w:t>
            </w:r>
          </w:p>
        </w:tc>
      </w:tr>
      <w:tr>
        <w:tblPrEx>
          <w:tblCellMar>
            <w:top w:w="0" w:type="dxa"/>
            <w:left w:w="0" w:type="dxa"/>
            <w:bottom w:w="0" w:type="dxa"/>
            <w:right w:w="0" w:type="dxa"/>
          </w:tblCellMar>
        </w:tblPrEx>
        <w:trPr>
          <w:gridAfter w:val="1"/>
          <w:wBefore w:w="0" w:type="dxa"/>
          <w:wAfter w:w="76" w:type="dxa"/>
          <w:trHeight w:val="148"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存在安全隐患的老旧供配电线路及配电装置进行维修、更换</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60" w:lineRule="exact"/>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50"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整治私自搭接的电线</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60" w:lineRule="exact"/>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63"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用户计量实行“一户一表”，宜采用分层集中的安装方式。</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60" w:lineRule="exact"/>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64"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4</w:t>
            </w:r>
          </w:p>
        </w:tc>
        <w:tc>
          <w:tcPr>
            <w:tcW w:w="1701" w:type="dxa"/>
            <w:gridSpan w:val="2"/>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电信设施改造</w:t>
            </w: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推动空中管线入地，对通信架空线路进行统一梳理</w:t>
            </w:r>
          </w:p>
        </w:tc>
        <w:tc>
          <w:tcPr>
            <w:tcW w:w="5491"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ight="105" w:rightChars="50"/>
              <w:rPr>
                <w:szCs w:val="21"/>
              </w:rPr>
            </w:pPr>
            <w:r>
              <w:rPr>
                <w:szCs w:val="21"/>
              </w:rPr>
              <w:t>《外壳防护等级（IP代码）》GB/T4208-2017</w:t>
            </w:r>
          </w:p>
        </w:tc>
      </w:tr>
      <w:tr>
        <w:tblPrEx>
          <w:tblCellMar>
            <w:top w:w="0" w:type="dxa"/>
            <w:left w:w="0" w:type="dxa"/>
            <w:bottom w:w="0" w:type="dxa"/>
            <w:right w:w="0" w:type="dxa"/>
          </w:tblCellMar>
        </w:tblPrEx>
        <w:trPr>
          <w:gridAfter w:val="1"/>
          <w:wBefore w:w="0" w:type="dxa"/>
          <w:wAfter w:w="76" w:type="dxa"/>
          <w:trHeight w:val="113"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Pr>
                <w:szCs w:val="21"/>
              </w:rPr>
            </w:pPr>
            <w:r>
              <w:rPr>
                <w:szCs w:val="21"/>
              </w:rPr>
              <w:t>线路实行统一设计、多杆合一、有序敷设</w:t>
            </w:r>
          </w:p>
        </w:tc>
        <w:tc>
          <w:tcPr>
            <w:tcW w:w="5491" w:type="dxa"/>
            <w:gridSpan w:val="2"/>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60" w:lineRule="exact"/>
              <w:ind w:left="105" w:leftChars="50" w:right="105" w:rightChars="50"/>
              <w:rPr>
                <w:szCs w:val="21"/>
              </w:rPr>
            </w:pPr>
            <w:r>
              <w:rPr>
                <w:szCs w:val="21"/>
              </w:rPr>
              <w:t>《综合布线系统工程设计规范》GB50311-2016</w:t>
            </w:r>
          </w:p>
          <w:p>
            <w:pPr>
              <w:spacing w:line="260" w:lineRule="exact"/>
              <w:ind w:left="105" w:leftChars="50" w:right="105" w:rightChars="50"/>
              <w:rPr>
                <w:szCs w:val="21"/>
              </w:rPr>
            </w:pPr>
            <w:r>
              <w:rPr>
                <w:szCs w:val="21"/>
              </w:rPr>
              <w:t>《民用建筑设计统一标准》  GB50352-2019</w:t>
            </w:r>
          </w:p>
          <w:p>
            <w:pPr>
              <w:spacing w:line="260" w:lineRule="exact"/>
              <w:ind w:left="105" w:leftChars="50" w:right="105" w:rightChars="50"/>
              <w:rPr>
                <w:szCs w:val="21"/>
              </w:rPr>
            </w:pPr>
            <w:r>
              <w:rPr>
                <w:szCs w:val="21"/>
              </w:rPr>
              <w:t>《住宅区和住宅建筑内光纤到户通信设施工程设计规范》GB50846-2012</w:t>
            </w:r>
          </w:p>
          <w:p>
            <w:pPr>
              <w:spacing w:line="260" w:lineRule="exact"/>
              <w:ind w:left="105" w:leftChars="50" w:right="105" w:rightChars="50"/>
              <w:rPr>
                <w:szCs w:val="21"/>
              </w:rPr>
            </w:pPr>
            <w:r>
              <w:rPr>
                <w:rFonts w:hint="eastAsia"/>
                <w:szCs w:val="21"/>
              </w:rPr>
              <w:t>《建筑物移动通信基础设施建设标准》DBJ/T 167-2020</w:t>
            </w:r>
          </w:p>
        </w:tc>
      </w:tr>
      <w:tr>
        <w:tblPrEx>
          <w:tblCellMar>
            <w:top w:w="0" w:type="dxa"/>
            <w:left w:w="0" w:type="dxa"/>
            <w:bottom w:w="0" w:type="dxa"/>
            <w:right w:w="0" w:type="dxa"/>
          </w:tblCellMar>
        </w:tblPrEx>
        <w:trPr>
          <w:gridAfter w:val="1"/>
          <w:wBefore w:w="0" w:type="dxa"/>
          <w:wAfter w:w="76" w:type="dxa"/>
          <w:trHeight w:val="50"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Pr>
                <w:szCs w:val="21"/>
              </w:rPr>
            </w:pPr>
            <w:r>
              <w:rPr>
                <w:szCs w:val="21"/>
              </w:rPr>
              <w:t>结合供电线网改造，完善公共区域智能化设施</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r>
      <w:tr>
        <w:tblPrEx>
          <w:tblCellMar>
            <w:top w:w="0" w:type="dxa"/>
            <w:left w:w="0" w:type="dxa"/>
            <w:bottom w:w="0" w:type="dxa"/>
            <w:right w:w="0" w:type="dxa"/>
          </w:tblCellMar>
        </w:tblPrEx>
        <w:trPr>
          <w:gridAfter w:val="1"/>
          <w:wBefore w:w="0" w:type="dxa"/>
          <w:wAfter w:w="76" w:type="dxa"/>
          <w:trHeight w:val="631"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6407" w:type="dxa"/>
            <w:gridSpan w:val="2"/>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Pr>
                <w:szCs w:val="21"/>
              </w:rPr>
            </w:pPr>
            <w:r>
              <w:rPr>
                <w:szCs w:val="21"/>
              </w:rPr>
              <w:t>预留新一代业务发展的容量，满足未来网络升级及5G建设需求</w:t>
            </w:r>
          </w:p>
        </w:tc>
        <w:tc>
          <w:tcPr>
            <w:tcW w:w="549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r>
      <w:tr>
        <w:tblPrEx>
          <w:tblCellMar>
            <w:top w:w="0" w:type="dxa"/>
            <w:left w:w="0" w:type="dxa"/>
            <w:bottom w:w="0" w:type="dxa"/>
            <w:right w:w="0" w:type="dxa"/>
          </w:tblCellMar>
        </w:tblPrEx>
        <w:trPr>
          <w:gridAfter w:val="1"/>
          <w:wBefore w:w="0" w:type="dxa"/>
          <w:wAfter w:w="76" w:type="dxa"/>
          <w:trHeight w:val="318" w:hRule="atLeast"/>
          <w:jc w:val="center"/>
        </w:trPr>
        <w:tc>
          <w:tcPr>
            <w:tcW w:w="3086" w:type="dxa"/>
            <w:gridSpan w:val="4"/>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b/>
                <w:bCs/>
                <w:szCs w:val="21"/>
              </w:rPr>
              <w:t>改造内容</w:t>
            </w: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b/>
                <w:bCs/>
                <w:szCs w:val="21"/>
              </w:rPr>
              <w:t>改造要求</w:t>
            </w:r>
          </w:p>
        </w:tc>
        <w:tc>
          <w:tcPr>
            <w:tcW w:w="5498" w:type="dxa"/>
            <w:gridSpan w:val="3"/>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b/>
                <w:bCs/>
                <w:szCs w:val="21"/>
              </w:rPr>
              <w:t>改造标准</w:t>
            </w:r>
          </w:p>
        </w:tc>
      </w:tr>
      <w:tr>
        <w:tblPrEx>
          <w:tblCellMar>
            <w:top w:w="0" w:type="dxa"/>
            <w:left w:w="0" w:type="dxa"/>
            <w:bottom w:w="0" w:type="dxa"/>
            <w:right w:w="0" w:type="dxa"/>
          </w:tblCellMar>
        </w:tblPrEx>
        <w:trPr>
          <w:gridAfter w:val="1"/>
          <w:wBefore w:w="0" w:type="dxa"/>
          <w:wAfter w:w="76" w:type="dxa"/>
          <w:jc w:val="center"/>
        </w:trPr>
        <w:tc>
          <w:tcPr>
            <w:tcW w:w="815"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rFonts w:hint="eastAsia"/>
                <w:b/>
                <w:bCs/>
                <w:szCs w:val="21"/>
              </w:rPr>
            </w:pPr>
          </w:p>
          <w:p>
            <w:pPr>
              <w:jc w:val="center"/>
              <w:rPr>
                <w:szCs w:val="21"/>
              </w:rPr>
            </w:pPr>
            <w:r>
              <w:rPr>
                <w:b/>
                <w:bCs/>
                <w:szCs w:val="21"/>
              </w:rPr>
              <w:t>基</w:t>
            </w:r>
          </w:p>
          <w:p>
            <w:pPr>
              <w:jc w:val="center"/>
              <w:rPr>
                <w:szCs w:val="21"/>
              </w:rPr>
            </w:pPr>
            <w:r>
              <w:rPr>
                <w:b/>
                <w:bCs/>
                <w:szCs w:val="21"/>
              </w:rPr>
              <w:t>础</w:t>
            </w:r>
          </w:p>
          <w:p>
            <w:pPr>
              <w:jc w:val="center"/>
              <w:rPr>
                <w:szCs w:val="21"/>
              </w:rPr>
            </w:pPr>
            <w:r>
              <w:rPr>
                <w:b/>
                <w:bCs/>
                <w:szCs w:val="21"/>
              </w:rPr>
              <w:t>类</w:t>
            </w:r>
          </w:p>
        </w:tc>
        <w:tc>
          <w:tcPr>
            <w:tcW w:w="570"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5</w:t>
            </w:r>
          </w:p>
        </w:tc>
        <w:tc>
          <w:tcPr>
            <w:tcW w:w="1701" w:type="dxa"/>
            <w:gridSpan w:val="2"/>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供热设施改造</w:t>
            </w: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应按照相关规划要求，配套建设供热管网及热力站等设施</w:t>
            </w:r>
          </w:p>
        </w:tc>
        <w:tc>
          <w:tcPr>
            <w:tcW w:w="5498" w:type="dxa"/>
            <w:gridSpan w:val="3"/>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《城镇供热管网设计规范》（CJJ34-2010）</w:t>
            </w:r>
          </w:p>
          <w:p>
            <w:pPr>
              <w:ind w:left="105" w:leftChars="50" w:right="105" w:rightChars="50"/>
              <w:rPr>
                <w:szCs w:val="21"/>
              </w:rPr>
            </w:pPr>
            <w:r>
              <w:rPr>
                <w:szCs w:val="21"/>
              </w:rPr>
              <w:t>县（区）城镇供热专项规划</w:t>
            </w:r>
          </w:p>
        </w:tc>
      </w:tr>
      <w:tr>
        <w:tblPrEx>
          <w:tblCellMar>
            <w:top w:w="0" w:type="dxa"/>
            <w:left w:w="0" w:type="dxa"/>
            <w:bottom w:w="0" w:type="dxa"/>
            <w:right w:w="0" w:type="dxa"/>
          </w:tblCellMar>
        </w:tblPrEx>
        <w:trPr>
          <w:gridAfter w:val="1"/>
          <w:wBefore w:w="0" w:type="dxa"/>
          <w:wAfter w:w="76" w:type="dxa"/>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改造影响使用功能的老化供热管网管线及设施</w:t>
            </w:r>
          </w:p>
        </w:tc>
        <w:tc>
          <w:tcPr>
            <w:tcW w:w="5498" w:type="dxa"/>
            <w:gridSpan w:val="3"/>
            <w:vMerge w:val="continue"/>
            <w:tcBorders>
              <w:top w:val="single" w:color="000000" w:sz="8" w:space="0"/>
              <w:left w:val="single" w:color="000000" w:sz="8" w:space="0"/>
              <w:bottom w:val="single" w:color="000000" w:sz="8" w:space="0"/>
              <w:right w:val="single" w:color="000000" w:sz="8" w:space="0"/>
            </w:tcBorders>
            <w:noWrap w:val="0"/>
            <w:vAlign w:val="center"/>
          </w:tcPr>
          <w:p>
            <w:pPr>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维修或更换后的管网保温效率应大于97%</w:t>
            </w:r>
          </w:p>
        </w:tc>
        <w:tc>
          <w:tcPr>
            <w:tcW w:w="5498" w:type="dxa"/>
            <w:gridSpan w:val="3"/>
            <w:vMerge w:val="continue"/>
            <w:tcBorders>
              <w:top w:val="single" w:color="000000" w:sz="8" w:space="0"/>
              <w:left w:val="single" w:color="000000" w:sz="8" w:space="0"/>
              <w:bottom w:val="single" w:color="000000" w:sz="8" w:space="0"/>
              <w:right w:val="single" w:color="000000" w:sz="8" w:space="0"/>
            </w:tcBorders>
            <w:noWrap w:val="0"/>
            <w:vAlign w:val="center"/>
          </w:tcPr>
          <w:p>
            <w:pPr>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节能装置检查</w:t>
            </w:r>
          </w:p>
        </w:tc>
        <w:tc>
          <w:tcPr>
            <w:tcW w:w="5498" w:type="dxa"/>
            <w:gridSpan w:val="3"/>
            <w:vMerge w:val="continue"/>
            <w:tcBorders>
              <w:top w:val="single" w:color="000000" w:sz="8" w:space="0"/>
              <w:left w:val="single" w:color="000000" w:sz="8" w:space="0"/>
              <w:bottom w:val="single" w:color="000000" w:sz="8" w:space="0"/>
              <w:right w:val="single" w:color="000000" w:sz="8" w:space="0"/>
            </w:tcBorders>
            <w:noWrap w:val="0"/>
            <w:vAlign w:val="center"/>
          </w:tcPr>
          <w:p>
            <w:pPr>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6</w:t>
            </w:r>
          </w:p>
        </w:tc>
        <w:tc>
          <w:tcPr>
            <w:tcW w:w="1701" w:type="dxa"/>
            <w:gridSpan w:val="2"/>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燃气设施改造</w:t>
            </w: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对影响使用的老旧管网应进行维修、更换</w:t>
            </w:r>
          </w:p>
        </w:tc>
        <w:tc>
          <w:tcPr>
            <w:tcW w:w="5498" w:type="dxa"/>
            <w:gridSpan w:val="3"/>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《城镇燃气规划规范》GB/T51098-2015</w:t>
            </w:r>
          </w:p>
          <w:p>
            <w:pPr>
              <w:ind w:left="105" w:leftChars="50" w:right="105" w:rightChars="50"/>
              <w:rPr>
                <w:szCs w:val="21"/>
              </w:rPr>
            </w:pPr>
            <w:r>
              <w:rPr>
                <w:szCs w:val="21"/>
              </w:rPr>
              <w:t>《城镇燃气设计规范》GB50028-2006</w:t>
            </w:r>
          </w:p>
          <w:p>
            <w:pPr>
              <w:ind w:left="105" w:leftChars="50" w:right="105" w:rightChars="50"/>
              <w:rPr>
                <w:szCs w:val="21"/>
              </w:rPr>
            </w:pPr>
            <w:r>
              <w:rPr>
                <w:szCs w:val="21"/>
              </w:rPr>
              <w:t>县（区）城镇燃气专项规划</w:t>
            </w:r>
          </w:p>
        </w:tc>
      </w:tr>
      <w:tr>
        <w:tblPrEx>
          <w:tblCellMar>
            <w:top w:w="0" w:type="dxa"/>
            <w:left w:w="0" w:type="dxa"/>
            <w:bottom w:w="0" w:type="dxa"/>
            <w:right w:w="0" w:type="dxa"/>
          </w:tblCellMar>
        </w:tblPrEx>
        <w:trPr>
          <w:gridAfter w:val="1"/>
          <w:wBefore w:w="0" w:type="dxa"/>
          <w:wAfter w:w="76" w:type="dxa"/>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按相关规范要求增设天然气管道系统</w:t>
            </w:r>
          </w:p>
        </w:tc>
        <w:tc>
          <w:tcPr>
            <w:tcW w:w="5498" w:type="dxa"/>
            <w:gridSpan w:val="3"/>
            <w:vMerge w:val="continue"/>
            <w:tcBorders>
              <w:top w:val="single" w:color="000000" w:sz="8" w:space="0"/>
              <w:left w:val="single" w:color="000000" w:sz="8" w:space="0"/>
              <w:bottom w:val="single" w:color="000000" w:sz="8" w:space="0"/>
              <w:right w:val="single" w:color="000000" w:sz="8" w:space="0"/>
            </w:tcBorders>
            <w:noWrap w:val="0"/>
            <w:vAlign w:val="center"/>
          </w:tcPr>
          <w:p>
            <w:pPr>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trHeight w:val="318"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应符合防火、防爆等安全距离的要求</w:t>
            </w:r>
          </w:p>
        </w:tc>
        <w:tc>
          <w:tcPr>
            <w:tcW w:w="5498" w:type="dxa"/>
            <w:gridSpan w:val="3"/>
            <w:vMerge w:val="continue"/>
            <w:tcBorders>
              <w:top w:val="single" w:color="000000" w:sz="8" w:space="0"/>
              <w:left w:val="single" w:color="000000" w:sz="8" w:space="0"/>
              <w:bottom w:val="single" w:color="000000" w:sz="8" w:space="0"/>
              <w:right w:val="single" w:color="000000" w:sz="8" w:space="0"/>
            </w:tcBorders>
            <w:noWrap w:val="0"/>
            <w:vAlign w:val="center"/>
          </w:tcPr>
          <w:p>
            <w:pPr>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7</w:t>
            </w:r>
          </w:p>
        </w:tc>
        <w:tc>
          <w:tcPr>
            <w:tcW w:w="1701" w:type="dxa"/>
            <w:gridSpan w:val="2"/>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消防设施完善</w:t>
            </w: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对既有消防设施进行维护升级保证消防设施完整好用、布局合理</w:t>
            </w:r>
          </w:p>
        </w:tc>
        <w:tc>
          <w:tcPr>
            <w:tcW w:w="5498" w:type="dxa"/>
            <w:gridSpan w:val="3"/>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《建筑设计防火规范》GB 50016-2014（2018年版）</w:t>
            </w:r>
          </w:p>
          <w:p>
            <w:pPr>
              <w:ind w:left="105" w:leftChars="50" w:right="105" w:rightChars="50"/>
              <w:rPr>
                <w:szCs w:val="21"/>
              </w:rPr>
            </w:pPr>
            <w:r>
              <w:rPr>
                <w:szCs w:val="21"/>
              </w:rPr>
              <w:t>《城市消防规划规范》 GB51080-2015</w:t>
            </w:r>
          </w:p>
          <w:p>
            <w:pPr>
              <w:ind w:left="105" w:leftChars="50" w:right="105" w:rightChars="50"/>
              <w:rPr>
                <w:szCs w:val="21"/>
              </w:rPr>
            </w:pPr>
            <w:r>
              <w:rPr>
                <w:szCs w:val="21"/>
              </w:rPr>
              <w:t>《消防给水及消火栓系统技术规范》GB50974-2014</w:t>
            </w:r>
          </w:p>
          <w:p>
            <w:pPr>
              <w:ind w:left="105" w:leftChars="50" w:right="105" w:rightChars="50"/>
              <w:rPr>
                <w:szCs w:val="21"/>
              </w:rPr>
            </w:pPr>
            <w:r>
              <w:rPr>
                <w:szCs w:val="21"/>
              </w:rPr>
              <w:t>《消防应急照明和疏散指示系统技术规范》GB51309-2018《民用建筑设计统一标准》GB 50352-2019</w:t>
            </w:r>
          </w:p>
          <w:p>
            <w:pPr>
              <w:ind w:left="105" w:leftChars="50" w:right="105" w:rightChars="50"/>
              <w:rPr>
                <w:szCs w:val="21"/>
              </w:rPr>
            </w:pPr>
            <w:r>
              <w:rPr>
                <w:szCs w:val="21"/>
              </w:rPr>
              <w:t>《建筑灭火器配置设计规范》GB 50140-2005</w:t>
            </w:r>
          </w:p>
          <w:p>
            <w:pPr>
              <w:ind w:left="105" w:leftChars="50" w:right="105" w:rightChars="50"/>
              <w:rPr>
                <w:szCs w:val="21"/>
              </w:rPr>
            </w:pPr>
            <w:r>
              <w:rPr>
                <w:szCs w:val="21"/>
              </w:rPr>
              <w:t>《</w:t>
            </w:r>
            <w:r>
              <w:rPr>
                <w:rFonts w:hint="eastAsia"/>
                <w:szCs w:val="21"/>
              </w:rPr>
              <w:t>中华人民共和国消防法</w:t>
            </w:r>
            <w:r>
              <w:rPr>
                <w:szCs w:val="21"/>
              </w:rPr>
              <w:t>》</w:t>
            </w:r>
          </w:p>
        </w:tc>
      </w:tr>
      <w:tr>
        <w:tblPrEx>
          <w:tblCellMar>
            <w:top w:w="0" w:type="dxa"/>
            <w:left w:w="0" w:type="dxa"/>
            <w:bottom w:w="0" w:type="dxa"/>
            <w:right w:w="0" w:type="dxa"/>
          </w:tblCellMar>
        </w:tblPrEx>
        <w:trPr>
          <w:gridAfter w:val="1"/>
          <w:wBefore w:w="0" w:type="dxa"/>
          <w:wAfter w:w="76" w:type="dxa"/>
          <w:trHeight w:val="184"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保证消防通道畅通，对消防车通道实行划线、标名、立牌等标识化管理</w:t>
            </w:r>
          </w:p>
        </w:tc>
        <w:tc>
          <w:tcPr>
            <w:tcW w:w="5498" w:type="dxa"/>
            <w:gridSpan w:val="3"/>
            <w:vMerge w:val="continue"/>
            <w:tcBorders>
              <w:top w:val="single" w:color="000000" w:sz="8" w:space="0"/>
              <w:left w:val="single" w:color="000000" w:sz="8" w:space="0"/>
              <w:bottom w:val="single" w:color="000000" w:sz="8" w:space="0"/>
              <w:right w:val="single" w:color="000000" w:sz="8" w:space="0"/>
            </w:tcBorders>
            <w:noWrap w:val="0"/>
            <w:vAlign w:val="center"/>
          </w:tcPr>
          <w:p>
            <w:pPr>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采用新技术、新材料、新工艺、新产品，并应符合现行国家标准</w:t>
            </w:r>
          </w:p>
        </w:tc>
        <w:tc>
          <w:tcPr>
            <w:tcW w:w="5498" w:type="dxa"/>
            <w:gridSpan w:val="3"/>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《消防给水及消火栓系统技术规范》GB50974-2014</w:t>
            </w:r>
          </w:p>
        </w:tc>
      </w:tr>
      <w:tr>
        <w:tblPrEx>
          <w:tblCellMar>
            <w:top w:w="0" w:type="dxa"/>
            <w:left w:w="0" w:type="dxa"/>
            <w:bottom w:w="0" w:type="dxa"/>
            <w:right w:w="0" w:type="dxa"/>
          </w:tblCellMar>
        </w:tblPrEx>
        <w:trPr>
          <w:gridAfter w:val="1"/>
          <w:wBefore w:w="0" w:type="dxa"/>
          <w:wAfter w:w="76" w:type="dxa"/>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加强消防智能化建设，推广消防物联网监控系统应用</w:t>
            </w:r>
          </w:p>
        </w:tc>
        <w:tc>
          <w:tcPr>
            <w:tcW w:w="5498" w:type="dxa"/>
            <w:gridSpan w:val="3"/>
            <w:vMerge w:val="continue"/>
            <w:tcBorders>
              <w:top w:val="single" w:color="000000" w:sz="8" w:space="0"/>
              <w:left w:val="single" w:color="000000" w:sz="8" w:space="0"/>
              <w:bottom w:val="single" w:color="000000" w:sz="8" w:space="0"/>
              <w:right w:val="single" w:color="000000" w:sz="8" w:space="0"/>
            </w:tcBorders>
            <w:noWrap w:val="0"/>
            <w:vAlign w:val="center"/>
          </w:tcPr>
          <w:p>
            <w:pPr>
              <w:ind w:left="105" w:leftChars="50" w:right="105" w:rightChars="50"/>
              <w:rPr>
                <w:szCs w:val="21"/>
              </w:rPr>
            </w:pPr>
          </w:p>
        </w:tc>
      </w:tr>
      <w:tr>
        <w:tblPrEx>
          <w:tblCellMar>
            <w:top w:w="0" w:type="dxa"/>
            <w:left w:w="0" w:type="dxa"/>
            <w:bottom w:w="0" w:type="dxa"/>
            <w:right w:w="0" w:type="dxa"/>
          </w:tblCellMar>
        </w:tblPrEx>
        <w:trPr>
          <w:gridAfter w:val="1"/>
          <w:wBefore w:w="0" w:type="dxa"/>
          <w:wAfter w:w="76" w:type="dxa"/>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jc w:val="cente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特殊人群住所应安装独立式烟感探测报警器</w:t>
            </w:r>
          </w:p>
        </w:tc>
        <w:tc>
          <w:tcPr>
            <w:tcW w:w="5498" w:type="dxa"/>
            <w:gridSpan w:val="3"/>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《建筑设计防火规范》GB 50016-2014（2018年版）</w:t>
            </w:r>
          </w:p>
          <w:p>
            <w:pPr>
              <w:ind w:left="105" w:leftChars="50" w:right="105" w:rightChars="50"/>
              <w:rPr>
                <w:szCs w:val="21"/>
              </w:rPr>
            </w:pPr>
            <w:r>
              <w:rPr>
                <w:szCs w:val="21"/>
              </w:rPr>
              <w:t>《建筑防排烟系统技术标准》GB51251-2017</w:t>
            </w:r>
          </w:p>
        </w:tc>
      </w:tr>
      <w:tr>
        <w:tblPrEx>
          <w:tblCellMar>
            <w:top w:w="0" w:type="dxa"/>
            <w:left w:w="0" w:type="dxa"/>
            <w:bottom w:w="0" w:type="dxa"/>
            <w:right w:w="0" w:type="dxa"/>
          </w:tblCellMar>
        </w:tblPrEx>
        <w:trPr>
          <w:gridAfter w:val="1"/>
          <w:wBefore w:w="0" w:type="dxa"/>
          <w:wAfter w:w="76" w:type="dxa"/>
          <w:trHeight w:val="376"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8</w:t>
            </w:r>
          </w:p>
        </w:tc>
        <w:tc>
          <w:tcPr>
            <w:tcW w:w="1701" w:type="dxa"/>
            <w:gridSpan w:val="2"/>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jc w:val="center"/>
              <w:rPr>
                <w:szCs w:val="21"/>
              </w:rPr>
            </w:pPr>
            <w:r>
              <w:rPr>
                <w:szCs w:val="21"/>
              </w:rPr>
              <w:t>生活垃圾分类</w:t>
            </w: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垃圾分类</w:t>
            </w:r>
          </w:p>
        </w:tc>
        <w:tc>
          <w:tcPr>
            <w:tcW w:w="5498" w:type="dxa"/>
            <w:gridSpan w:val="3"/>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《城市环境卫生设施规划标准》GBT50337-2018</w:t>
            </w:r>
          </w:p>
          <w:p>
            <w:pPr>
              <w:ind w:left="105" w:leftChars="50" w:right="105" w:rightChars="50"/>
              <w:rPr>
                <w:szCs w:val="21"/>
              </w:rPr>
            </w:pPr>
            <w:r>
              <w:rPr>
                <w:szCs w:val="21"/>
              </w:rPr>
              <w:t>《城市居住区规划设计标准》GB50180-2018</w:t>
            </w:r>
          </w:p>
          <w:p>
            <w:pPr>
              <w:ind w:left="105" w:leftChars="50" w:right="105" w:rightChars="50"/>
              <w:rPr>
                <w:szCs w:val="21"/>
              </w:rPr>
            </w:pPr>
            <w:r>
              <w:rPr>
                <w:szCs w:val="21"/>
              </w:rPr>
              <w:t>《生活垃圾分类设施配置及作业规范》</w:t>
            </w:r>
            <w:r>
              <w:rPr>
                <w:rFonts w:hint="eastAsia"/>
                <w:szCs w:val="21"/>
              </w:rPr>
              <w:t xml:space="preserve">DB45/T1896-2018 </w:t>
            </w:r>
          </w:p>
          <w:p>
            <w:pPr>
              <w:ind w:left="105" w:leftChars="50" w:right="105" w:rightChars="50"/>
              <w:rPr>
                <w:szCs w:val="21"/>
              </w:rPr>
            </w:pPr>
            <w:r>
              <w:rPr>
                <w:szCs w:val="21"/>
              </w:rPr>
              <w:t>《陕西省生活垃圾分类规划》（2019-2025年）</w:t>
            </w:r>
          </w:p>
        </w:tc>
      </w:tr>
      <w:tr>
        <w:tblPrEx>
          <w:tblCellMar>
            <w:top w:w="0" w:type="dxa"/>
            <w:left w:w="0" w:type="dxa"/>
            <w:bottom w:w="0" w:type="dxa"/>
            <w:right w:w="0" w:type="dxa"/>
          </w:tblCellMar>
        </w:tblPrEx>
        <w:trPr>
          <w:gridAfter w:val="1"/>
          <w:wBefore w:w="0" w:type="dxa"/>
          <w:wAfter w:w="76" w:type="dxa"/>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应预留生活垃圾分类、垃圾消毒设施等处理空间</w:t>
            </w:r>
          </w:p>
        </w:tc>
        <w:tc>
          <w:tcPr>
            <w:tcW w:w="5498" w:type="dxa"/>
            <w:gridSpan w:val="3"/>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r>
      <w:tr>
        <w:tblPrEx>
          <w:tblCellMar>
            <w:top w:w="0" w:type="dxa"/>
            <w:left w:w="0" w:type="dxa"/>
            <w:bottom w:w="0" w:type="dxa"/>
            <w:right w:w="0" w:type="dxa"/>
          </w:tblCellMar>
        </w:tblPrEx>
        <w:trPr>
          <w:gridAfter w:val="1"/>
          <w:wBefore w:w="0" w:type="dxa"/>
          <w:wAfter w:w="76" w:type="dxa"/>
          <w:trHeight w:val="191"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应取消楼体垃圾道，拆除小区内原有不达标、卫生条件差的垃圾房、垃圾池、垃圾收集点、公共厕所</w:t>
            </w:r>
          </w:p>
        </w:tc>
        <w:tc>
          <w:tcPr>
            <w:tcW w:w="5498" w:type="dxa"/>
            <w:gridSpan w:val="3"/>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r>
      <w:tr>
        <w:tblPrEx>
          <w:tblCellMar>
            <w:top w:w="0" w:type="dxa"/>
            <w:left w:w="0" w:type="dxa"/>
            <w:bottom w:w="0" w:type="dxa"/>
            <w:right w:w="0" w:type="dxa"/>
          </w:tblCellMar>
        </w:tblPrEx>
        <w:trPr>
          <w:gridAfter w:val="1"/>
          <w:wBefore w:w="0" w:type="dxa"/>
          <w:wAfter w:w="76" w:type="dxa"/>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环卫设施改造应布局合理，便于使用和清运</w:t>
            </w:r>
          </w:p>
        </w:tc>
        <w:tc>
          <w:tcPr>
            <w:tcW w:w="5498" w:type="dxa"/>
            <w:gridSpan w:val="3"/>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r>
      <w:tr>
        <w:tblPrEx>
          <w:tblCellMar>
            <w:top w:w="0" w:type="dxa"/>
            <w:left w:w="0" w:type="dxa"/>
            <w:bottom w:w="0" w:type="dxa"/>
            <w:right w:w="0" w:type="dxa"/>
          </w:tblCellMar>
        </w:tblPrEx>
        <w:trPr>
          <w:gridAfter w:val="1"/>
          <w:wBefore w:w="0" w:type="dxa"/>
          <w:wAfter w:w="76" w:type="dxa"/>
          <w:jc w:val="center"/>
        </w:trPr>
        <w:tc>
          <w:tcPr>
            <w:tcW w:w="815"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1701"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c>
          <w:tcPr>
            <w:tcW w:w="6400"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ind w:left="105" w:leftChars="50" w:right="105" w:rightChars="50"/>
              <w:rPr>
                <w:szCs w:val="21"/>
              </w:rPr>
            </w:pPr>
            <w:r>
              <w:rPr>
                <w:szCs w:val="21"/>
              </w:rPr>
              <w:t>分类垃圾桶宜设置在单元入口附近的隐蔽位置</w:t>
            </w:r>
          </w:p>
        </w:tc>
        <w:tc>
          <w:tcPr>
            <w:tcW w:w="5498" w:type="dxa"/>
            <w:gridSpan w:val="3"/>
            <w:vMerge w:val="continue"/>
            <w:tcBorders>
              <w:top w:val="single" w:color="000000" w:sz="8" w:space="0"/>
              <w:left w:val="single" w:color="000000" w:sz="8" w:space="0"/>
              <w:bottom w:val="single" w:color="000000" w:sz="8" w:space="0"/>
              <w:right w:val="single" w:color="000000" w:sz="8" w:space="0"/>
            </w:tcBorders>
            <w:noWrap w:val="0"/>
            <w:vAlign w:val="center"/>
          </w:tcPr>
          <w:p>
            <w:pPr>
              <w:rPr>
                <w:szCs w:val="21"/>
              </w:rPr>
            </w:pPr>
          </w:p>
        </w:tc>
      </w:tr>
      <w:tr>
        <w:tblPrEx>
          <w:shd w:val="clear" w:color="auto" w:fill="FFFFFF"/>
          <w:tblCellMar>
            <w:top w:w="0" w:type="dxa"/>
            <w:left w:w="0" w:type="dxa"/>
            <w:bottom w:w="0" w:type="dxa"/>
            <w:right w:w="0" w:type="dxa"/>
          </w:tblCellMar>
        </w:tblPrEx>
        <w:trPr>
          <w:wBefore w:w="0" w:type="dxa"/>
          <w:wAfter w:w="0" w:type="dxa"/>
          <w:trHeight w:val="318" w:hRule="atLeast"/>
          <w:jc w:val="center"/>
        </w:trPr>
        <w:tc>
          <w:tcPr>
            <w:tcW w:w="3052" w:type="dxa"/>
            <w:gridSpan w:val="3"/>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b/>
                <w:bCs/>
                <w:szCs w:val="21"/>
              </w:rPr>
              <w:t>改造内容</w:t>
            </w: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b/>
                <w:bCs/>
                <w:szCs w:val="21"/>
              </w:rPr>
              <w:t>改造要求</w:t>
            </w:r>
          </w:p>
        </w:tc>
        <w:tc>
          <w:tcPr>
            <w:tcW w:w="5227"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b/>
                <w:bCs/>
                <w:szCs w:val="21"/>
              </w:rPr>
              <w:t>改造标准</w:t>
            </w:r>
          </w:p>
        </w:tc>
      </w:tr>
      <w:tr>
        <w:tblPrEx>
          <w:shd w:val="clear" w:color="auto" w:fill="FFFFFF"/>
          <w:tblCellMar>
            <w:top w:w="0" w:type="dxa"/>
            <w:left w:w="0" w:type="dxa"/>
            <w:bottom w:w="0" w:type="dxa"/>
            <w:right w:w="0" w:type="dxa"/>
          </w:tblCellMar>
        </w:tblPrEx>
        <w:trPr>
          <w:wBefore w:w="0" w:type="dxa"/>
          <w:wAfter w:w="0" w:type="dxa"/>
          <w:jc w:val="center"/>
        </w:trPr>
        <w:tc>
          <w:tcPr>
            <w:tcW w:w="815"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rFonts w:hint="eastAsia"/>
                <w:b/>
                <w:bCs/>
                <w:szCs w:val="21"/>
              </w:rPr>
            </w:pPr>
            <w:r>
              <w:rPr>
                <w:b/>
                <w:bCs/>
                <w:szCs w:val="21"/>
              </w:rPr>
              <w:t>基</w:t>
            </w:r>
          </w:p>
          <w:p>
            <w:pPr>
              <w:spacing w:line="280" w:lineRule="exact"/>
              <w:jc w:val="center"/>
              <w:rPr>
                <w:rFonts w:hint="eastAsia"/>
                <w:b/>
                <w:bCs/>
                <w:szCs w:val="21"/>
              </w:rPr>
            </w:pPr>
            <w:r>
              <w:rPr>
                <w:b/>
                <w:bCs/>
                <w:szCs w:val="21"/>
              </w:rPr>
              <w:t>础</w:t>
            </w:r>
          </w:p>
          <w:p>
            <w:pPr>
              <w:spacing w:line="280" w:lineRule="exact"/>
              <w:jc w:val="center"/>
              <w:rPr>
                <w:szCs w:val="21"/>
              </w:rPr>
            </w:pPr>
            <w:r>
              <w:rPr>
                <w:b/>
                <w:bCs/>
                <w:szCs w:val="21"/>
              </w:rPr>
              <w:t>类</w:t>
            </w:r>
          </w:p>
        </w:tc>
        <w:tc>
          <w:tcPr>
            <w:tcW w:w="57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9</w:t>
            </w:r>
          </w:p>
        </w:tc>
        <w:tc>
          <w:tcPr>
            <w:tcW w:w="1667"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05" w:leftChars="50" w:right="105" w:rightChars="50"/>
              <w:jc w:val="center"/>
              <w:rPr>
                <w:rFonts w:hint="eastAsia"/>
                <w:szCs w:val="21"/>
              </w:rPr>
            </w:pPr>
            <w:r>
              <w:rPr>
                <w:szCs w:val="21"/>
              </w:rPr>
              <w:t>建筑外立面</w:t>
            </w:r>
          </w:p>
          <w:p>
            <w:pPr>
              <w:spacing w:line="280" w:lineRule="exact"/>
              <w:ind w:left="105" w:leftChars="50" w:right="105" w:rightChars="50"/>
              <w:jc w:val="center"/>
              <w:rPr>
                <w:szCs w:val="21"/>
              </w:rPr>
            </w:pPr>
            <w:r>
              <w:rPr>
                <w:szCs w:val="21"/>
              </w:rPr>
              <w:t>整治</w:t>
            </w: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空调机位宜整齐或设计遮挡装饰，确保满足安全要求，改为有组织排水</w:t>
            </w:r>
          </w:p>
        </w:tc>
        <w:tc>
          <w:tcPr>
            <w:tcW w:w="5227"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《建筑装饰装修工程质量验收标准》GB50210-2018</w:t>
            </w:r>
          </w:p>
        </w:tc>
      </w:tr>
      <w:tr>
        <w:tblPrEx>
          <w:shd w:val="clear" w:color="auto" w:fill="FFFFFF"/>
          <w:tblCellMar>
            <w:top w:w="0" w:type="dxa"/>
            <w:left w:w="0" w:type="dxa"/>
            <w:bottom w:w="0" w:type="dxa"/>
            <w:right w:w="0" w:type="dxa"/>
          </w:tblCellMar>
        </w:tblPrEx>
        <w:trPr>
          <w:wBefore w:w="0" w:type="dxa"/>
          <w:wAfter w:w="0" w:type="dxa"/>
          <w:trHeight w:val="282"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66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105" w:leftChars="50" w:right="105" w:rightChars="50"/>
              <w:jc w:val="center"/>
              <w:rPr>
                <w:szCs w:val="21"/>
              </w:rPr>
            </w:pP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建筑外立面整治应符合城镇整体风貌，与周边建筑环境相协调。重点沿街界面的建筑风貌引导应符合城镇整体风貌的规定要求</w:t>
            </w:r>
          </w:p>
        </w:tc>
        <w:tc>
          <w:tcPr>
            <w:tcW w:w="5227"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《陕西省城市设计标准》DBJ  61/T 128-2018</w:t>
            </w:r>
          </w:p>
          <w:p>
            <w:pPr>
              <w:spacing w:line="300" w:lineRule="exact"/>
              <w:ind w:left="105" w:leftChars="50" w:right="105" w:rightChars="50"/>
              <w:rPr>
                <w:szCs w:val="21"/>
              </w:rPr>
            </w:pPr>
            <w:r>
              <w:rPr>
                <w:szCs w:val="21"/>
              </w:rPr>
              <w:t>《老旧小区有机更新改造技术导则》（2016年10月）</w:t>
            </w:r>
          </w:p>
          <w:p>
            <w:pPr>
              <w:spacing w:line="300" w:lineRule="exact"/>
              <w:ind w:left="105" w:leftChars="50" w:right="105" w:rightChars="50"/>
              <w:rPr>
                <w:szCs w:val="21"/>
              </w:rPr>
            </w:pPr>
            <w:r>
              <w:rPr>
                <w:szCs w:val="21"/>
              </w:rPr>
              <w:t xml:space="preserve">《城市旧居住区综合改造技术标准》TCSUS04-2019 </w:t>
            </w:r>
          </w:p>
          <w:p>
            <w:pPr>
              <w:spacing w:line="300" w:lineRule="exact"/>
              <w:ind w:left="105" w:leftChars="50" w:right="105" w:rightChars="50"/>
              <w:rPr>
                <w:szCs w:val="21"/>
              </w:rPr>
            </w:pPr>
            <w:r>
              <w:rPr>
                <w:szCs w:val="21"/>
              </w:rPr>
              <w:t>《建筑装饰装修工程质量验收标准》GB50210-2018</w:t>
            </w:r>
          </w:p>
          <w:p>
            <w:pPr>
              <w:spacing w:line="300" w:lineRule="exact"/>
              <w:ind w:left="105" w:leftChars="50" w:right="105" w:rightChars="50"/>
              <w:rPr>
                <w:szCs w:val="21"/>
              </w:rPr>
            </w:pPr>
            <w:r>
              <w:rPr>
                <w:szCs w:val="21"/>
              </w:rPr>
              <w:t>《建筑外墙防水工程技术规程》 JGJ/T 235-2011</w:t>
            </w:r>
          </w:p>
          <w:p>
            <w:pPr>
              <w:spacing w:line="300" w:lineRule="exact"/>
              <w:ind w:left="105" w:leftChars="50" w:right="105" w:rightChars="50"/>
              <w:rPr>
                <w:szCs w:val="21"/>
              </w:rPr>
            </w:pPr>
            <w:r>
              <w:rPr>
                <w:szCs w:val="21"/>
              </w:rPr>
              <w:t>《自粘防水材料建筑构造》</w:t>
            </w:r>
          </w:p>
          <w:p>
            <w:pPr>
              <w:spacing w:line="300" w:lineRule="exact"/>
              <w:ind w:left="105" w:leftChars="50" w:right="105" w:rightChars="50"/>
              <w:rPr>
                <w:szCs w:val="21"/>
              </w:rPr>
            </w:pPr>
            <w:r>
              <w:rPr>
                <w:szCs w:val="21"/>
              </w:rPr>
              <w:t>《墙体节能建筑构造》</w:t>
            </w:r>
          </w:p>
        </w:tc>
      </w:tr>
      <w:tr>
        <w:tblPrEx>
          <w:shd w:val="clear" w:color="auto" w:fill="FFFFFF"/>
          <w:tblCellMar>
            <w:top w:w="0" w:type="dxa"/>
            <w:left w:w="0" w:type="dxa"/>
            <w:bottom w:w="0" w:type="dxa"/>
            <w:right w:w="0" w:type="dxa"/>
          </w:tblCellMar>
        </w:tblPrEx>
        <w:trPr>
          <w:wBefore w:w="0" w:type="dxa"/>
          <w:wAfter w:w="0" w:type="dxa"/>
          <w:trHeight w:val="368"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57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10</w:t>
            </w:r>
          </w:p>
        </w:tc>
        <w:tc>
          <w:tcPr>
            <w:tcW w:w="1667"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05" w:leftChars="50" w:right="105" w:rightChars="50"/>
              <w:jc w:val="center"/>
              <w:rPr>
                <w:szCs w:val="21"/>
              </w:rPr>
            </w:pPr>
            <w:r>
              <w:rPr>
                <w:szCs w:val="21"/>
              </w:rPr>
              <w:t>屋面修缮</w:t>
            </w: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屋面形式整治</w:t>
            </w:r>
          </w:p>
        </w:tc>
        <w:tc>
          <w:tcPr>
            <w:tcW w:w="5227" w:type="dxa"/>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《民用建筑设计统一标准》 GB50352-2019</w:t>
            </w:r>
          </w:p>
          <w:p>
            <w:pPr>
              <w:spacing w:line="300" w:lineRule="exact"/>
              <w:ind w:left="105" w:leftChars="50" w:right="105" w:rightChars="50"/>
              <w:rPr>
                <w:szCs w:val="21"/>
              </w:rPr>
            </w:pPr>
            <w:r>
              <w:rPr>
                <w:szCs w:val="21"/>
              </w:rPr>
              <w:t>《屋面工程技术规范》(GB50345)-2012</w:t>
            </w:r>
          </w:p>
          <w:p>
            <w:pPr>
              <w:spacing w:line="300" w:lineRule="exact"/>
              <w:ind w:left="105" w:leftChars="50" w:right="105" w:rightChars="50"/>
              <w:rPr>
                <w:szCs w:val="21"/>
              </w:rPr>
            </w:pPr>
            <w:r>
              <w:rPr>
                <w:szCs w:val="21"/>
              </w:rPr>
              <w:t>《屋面工程质量验收规范》GB50207-2012</w:t>
            </w:r>
          </w:p>
        </w:tc>
      </w:tr>
      <w:tr>
        <w:tblPrEx>
          <w:shd w:val="clear" w:color="auto" w:fill="FFFFFF"/>
          <w:tblCellMar>
            <w:top w:w="0" w:type="dxa"/>
            <w:left w:w="0" w:type="dxa"/>
            <w:bottom w:w="0" w:type="dxa"/>
            <w:right w:w="0" w:type="dxa"/>
          </w:tblCellMar>
        </w:tblPrEx>
        <w:trPr>
          <w:wBefore w:w="0" w:type="dxa"/>
          <w:wAfter w:w="0" w:type="dxa"/>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66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105" w:leftChars="50" w:right="105" w:rightChars="50"/>
              <w:jc w:val="center"/>
              <w:rPr>
                <w:szCs w:val="21"/>
              </w:rPr>
            </w:pP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屋面修缮</w:t>
            </w:r>
          </w:p>
        </w:tc>
        <w:tc>
          <w:tcPr>
            <w:tcW w:w="5227"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00" w:lineRule="exact"/>
              <w:ind w:left="105" w:leftChars="50" w:right="105" w:rightChars="50"/>
              <w:rPr>
                <w:szCs w:val="21"/>
              </w:rPr>
            </w:pPr>
          </w:p>
        </w:tc>
      </w:tr>
      <w:tr>
        <w:tblPrEx>
          <w:shd w:val="clear" w:color="auto" w:fill="FFFFFF"/>
          <w:tblCellMar>
            <w:top w:w="0" w:type="dxa"/>
            <w:left w:w="0" w:type="dxa"/>
            <w:bottom w:w="0" w:type="dxa"/>
            <w:right w:w="0" w:type="dxa"/>
          </w:tblCellMar>
        </w:tblPrEx>
        <w:trPr>
          <w:wBefore w:w="0" w:type="dxa"/>
          <w:wAfter w:w="0" w:type="dxa"/>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66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105" w:leftChars="50" w:right="105" w:rightChars="50"/>
              <w:jc w:val="center"/>
              <w:rPr>
                <w:szCs w:val="21"/>
              </w:rPr>
            </w:pP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屋面改造</w:t>
            </w:r>
          </w:p>
        </w:tc>
        <w:tc>
          <w:tcPr>
            <w:tcW w:w="5227"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00" w:lineRule="exact"/>
              <w:ind w:left="105" w:leftChars="50" w:right="105" w:rightChars="50"/>
              <w:rPr>
                <w:szCs w:val="21"/>
              </w:rPr>
            </w:pPr>
          </w:p>
        </w:tc>
      </w:tr>
      <w:tr>
        <w:tblPrEx>
          <w:shd w:val="clear" w:color="auto" w:fill="FFFFFF"/>
          <w:tblCellMar>
            <w:top w:w="0" w:type="dxa"/>
            <w:left w:w="0" w:type="dxa"/>
            <w:bottom w:w="0" w:type="dxa"/>
            <w:right w:w="0" w:type="dxa"/>
          </w:tblCellMar>
        </w:tblPrEx>
        <w:trPr>
          <w:wBefore w:w="0" w:type="dxa"/>
          <w:wAfter w:w="0" w:type="dxa"/>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57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11</w:t>
            </w:r>
          </w:p>
        </w:tc>
        <w:tc>
          <w:tcPr>
            <w:tcW w:w="1667"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05" w:leftChars="50" w:right="105" w:rightChars="50"/>
              <w:jc w:val="center"/>
              <w:rPr>
                <w:szCs w:val="21"/>
              </w:rPr>
            </w:pPr>
            <w:r>
              <w:rPr>
                <w:szCs w:val="21"/>
              </w:rPr>
              <w:t>楼道楼道整修</w:t>
            </w: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整洁楼道墙面，维修楼梯扶手及楼道灯</w:t>
            </w:r>
          </w:p>
        </w:tc>
        <w:tc>
          <w:tcPr>
            <w:tcW w:w="5227" w:type="dxa"/>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 xml:space="preserve">《民用建筑设计统一标准》 GB50352-2019 </w:t>
            </w:r>
          </w:p>
          <w:p>
            <w:pPr>
              <w:spacing w:line="300" w:lineRule="exact"/>
              <w:ind w:left="105" w:leftChars="50" w:right="105" w:rightChars="50"/>
              <w:rPr>
                <w:szCs w:val="21"/>
              </w:rPr>
            </w:pPr>
            <w:r>
              <w:rPr>
                <w:szCs w:val="21"/>
              </w:rPr>
              <w:t>《楼梯栏杆及扶手》JG/T 558-2018</w:t>
            </w:r>
          </w:p>
          <w:p>
            <w:pPr>
              <w:spacing w:line="300" w:lineRule="exact"/>
              <w:ind w:left="105" w:leftChars="50" w:right="105" w:rightChars="50"/>
              <w:rPr>
                <w:szCs w:val="21"/>
              </w:rPr>
            </w:pPr>
            <w:r>
              <w:rPr>
                <w:szCs w:val="21"/>
              </w:rPr>
              <w:t>《无障碍设计规范》GB50763-2012</w:t>
            </w:r>
          </w:p>
        </w:tc>
      </w:tr>
      <w:tr>
        <w:tblPrEx>
          <w:shd w:val="clear" w:color="auto" w:fill="FFFFFF"/>
          <w:tblCellMar>
            <w:top w:w="0" w:type="dxa"/>
            <w:left w:w="0" w:type="dxa"/>
            <w:bottom w:w="0" w:type="dxa"/>
            <w:right w:w="0" w:type="dxa"/>
          </w:tblCellMar>
        </w:tblPrEx>
        <w:trPr>
          <w:wBefore w:w="0" w:type="dxa"/>
          <w:wAfter w:w="0" w:type="dxa"/>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66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105" w:leftChars="50" w:right="105" w:rightChars="50"/>
              <w:jc w:val="center"/>
              <w:rPr>
                <w:szCs w:val="21"/>
              </w:rPr>
            </w:pP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杂物清理，保障楼道干净、整洁</w:t>
            </w:r>
          </w:p>
        </w:tc>
        <w:tc>
          <w:tcPr>
            <w:tcW w:w="5227"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00" w:lineRule="exact"/>
              <w:ind w:left="105" w:leftChars="50" w:right="105" w:rightChars="50"/>
              <w:rPr>
                <w:szCs w:val="21"/>
              </w:rPr>
            </w:pPr>
          </w:p>
        </w:tc>
      </w:tr>
      <w:tr>
        <w:tblPrEx>
          <w:shd w:val="clear" w:color="auto" w:fill="FFFFFF"/>
          <w:tblCellMar>
            <w:top w:w="0" w:type="dxa"/>
            <w:left w:w="0" w:type="dxa"/>
            <w:bottom w:w="0" w:type="dxa"/>
            <w:right w:w="0" w:type="dxa"/>
          </w:tblCellMar>
        </w:tblPrEx>
        <w:trPr>
          <w:wBefore w:w="0" w:type="dxa"/>
          <w:wAfter w:w="0" w:type="dxa"/>
          <w:jc w:val="center"/>
        </w:trPr>
        <w:tc>
          <w:tcPr>
            <w:tcW w:w="815"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rFonts w:hint="eastAsia"/>
                <w:b/>
                <w:bCs/>
                <w:szCs w:val="21"/>
              </w:rPr>
            </w:pPr>
            <w:r>
              <w:rPr>
                <w:b/>
                <w:bCs/>
                <w:szCs w:val="21"/>
              </w:rPr>
              <w:t>完</w:t>
            </w:r>
          </w:p>
          <w:p>
            <w:pPr>
              <w:spacing w:line="280" w:lineRule="exact"/>
              <w:jc w:val="center"/>
              <w:rPr>
                <w:rFonts w:hint="eastAsia"/>
                <w:b/>
                <w:bCs/>
                <w:szCs w:val="21"/>
              </w:rPr>
            </w:pPr>
            <w:r>
              <w:rPr>
                <w:b/>
                <w:bCs/>
                <w:szCs w:val="21"/>
              </w:rPr>
              <w:t>善</w:t>
            </w:r>
          </w:p>
          <w:p>
            <w:pPr>
              <w:spacing w:line="280" w:lineRule="exact"/>
              <w:jc w:val="center"/>
              <w:rPr>
                <w:rFonts w:hint="eastAsia"/>
                <w:b/>
                <w:bCs/>
                <w:szCs w:val="21"/>
              </w:rPr>
            </w:pPr>
            <w:r>
              <w:rPr>
                <w:b/>
                <w:bCs/>
                <w:szCs w:val="21"/>
              </w:rPr>
              <w:t>类</w:t>
            </w:r>
          </w:p>
          <w:p>
            <w:pPr>
              <w:pStyle w:val="2"/>
              <w:rPr>
                <w:szCs w:val="21"/>
              </w:rPr>
            </w:pPr>
          </w:p>
        </w:tc>
        <w:tc>
          <w:tcPr>
            <w:tcW w:w="57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1</w:t>
            </w:r>
          </w:p>
        </w:tc>
        <w:tc>
          <w:tcPr>
            <w:tcW w:w="1667"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05" w:leftChars="50" w:right="105" w:rightChars="50"/>
              <w:jc w:val="center"/>
              <w:rPr>
                <w:szCs w:val="21"/>
              </w:rPr>
            </w:pPr>
            <w:r>
              <w:rPr>
                <w:szCs w:val="21"/>
              </w:rPr>
              <w:t>违法建筑拆除</w:t>
            </w: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依法拆除违法建筑</w:t>
            </w:r>
          </w:p>
        </w:tc>
        <w:tc>
          <w:tcPr>
            <w:tcW w:w="5227" w:type="dxa"/>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rFonts w:hint="eastAsia"/>
                <w:szCs w:val="21"/>
              </w:rPr>
              <w:t>《中华人民共和国城乡规划法》</w:t>
            </w:r>
          </w:p>
          <w:p>
            <w:pPr>
              <w:spacing w:line="300" w:lineRule="exact"/>
              <w:ind w:left="105" w:leftChars="50" w:right="105" w:rightChars="50"/>
              <w:rPr>
                <w:szCs w:val="21"/>
              </w:rPr>
            </w:pPr>
            <w:r>
              <w:rPr>
                <w:rFonts w:hint="eastAsia"/>
                <w:szCs w:val="21"/>
              </w:rPr>
              <w:t>《中华人民共和国土地管理法》</w:t>
            </w:r>
          </w:p>
        </w:tc>
      </w:tr>
      <w:tr>
        <w:tblPrEx>
          <w:shd w:val="clear" w:color="auto" w:fill="FFFFFF"/>
          <w:tblCellMar>
            <w:top w:w="0" w:type="dxa"/>
            <w:left w:w="0" w:type="dxa"/>
            <w:bottom w:w="0" w:type="dxa"/>
            <w:right w:w="0" w:type="dxa"/>
          </w:tblCellMar>
        </w:tblPrEx>
        <w:trPr>
          <w:wBefore w:w="0" w:type="dxa"/>
          <w:wAfter w:w="0" w:type="dxa"/>
          <w:trHeight w:val="318"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66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105" w:leftChars="50" w:right="105" w:rightChars="50"/>
              <w:jc w:val="center"/>
              <w:rPr>
                <w:szCs w:val="21"/>
              </w:rPr>
            </w:pP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鼓励改造为公共服务设施</w:t>
            </w:r>
          </w:p>
        </w:tc>
        <w:tc>
          <w:tcPr>
            <w:tcW w:w="5227"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00" w:lineRule="exact"/>
              <w:ind w:left="105" w:leftChars="50" w:right="105" w:rightChars="50"/>
              <w:rPr>
                <w:szCs w:val="21"/>
              </w:rPr>
            </w:pPr>
          </w:p>
        </w:tc>
      </w:tr>
      <w:tr>
        <w:tblPrEx>
          <w:shd w:val="clear" w:color="auto" w:fill="FFFFFF"/>
          <w:tblCellMar>
            <w:top w:w="0" w:type="dxa"/>
            <w:left w:w="0" w:type="dxa"/>
            <w:bottom w:w="0" w:type="dxa"/>
            <w:right w:w="0" w:type="dxa"/>
          </w:tblCellMar>
        </w:tblPrEx>
        <w:trPr>
          <w:wBefore w:w="0" w:type="dxa"/>
          <w:wAfter w:w="0" w:type="dxa"/>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57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2</w:t>
            </w:r>
          </w:p>
        </w:tc>
        <w:tc>
          <w:tcPr>
            <w:tcW w:w="1667"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05" w:leftChars="50" w:right="105" w:rightChars="50"/>
              <w:jc w:val="center"/>
              <w:rPr>
                <w:szCs w:val="21"/>
              </w:rPr>
            </w:pPr>
            <w:r>
              <w:rPr>
                <w:szCs w:val="21"/>
              </w:rPr>
              <w:t>小区绿化整治</w:t>
            </w: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优化绿地空间布局，改造后人均公共绿地面积不宜低于原绿地率标准</w:t>
            </w:r>
          </w:p>
        </w:tc>
        <w:tc>
          <w:tcPr>
            <w:tcW w:w="5227" w:type="dxa"/>
            <w:gridSpan w:val="2"/>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《城市绿地设计规范》GB50420-2007（2016年版）</w:t>
            </w:r>
          </w:p>
          <w:p>
            <w:pPr>
              <w:spacing w:line="300" w:lineRule="exact"/>
              <w:ind w:left="105" w:leftChars="50" w:right="105" w:rightChars="50"/>
              <w:rPr>
                <w:szCs w:val="21"/>
              </w:rPr>
            </w:pPr>
            <w:r>
              <w:rPr>
                <w:szCs w:val="21"/>
              </w:rPr>
              <w:t>《城市居住区规划设计标准》 (GB 50180-2018)</w:t>
            </w:r>
          </w:p>
        </w:tc>
      </w:tr>
      <w:tr>
        <w:tblPrEx>
          <w:shd w:val="clear" w:color="auto" w:fill="FFFFFF"/>
          <w:tblCellMar>
            <w:top w:w="0" w:type="dxa"/>
            <w:left w:w="0" w:type="dxa"/>
            <w:bottom w:w="0" w:type="dxa"/>
            <w:right w:w="0" w:type="dxa"/>
          </w:tblCellMar>
        </w:tblPrEx>
        <w:trPr>
          <w:wBefore w:w="0" w:type="dxa"/>
          <w:wAfter w:w="0" w:type="dxa"/>
          <w:trHeight w:val="496" w:hRule="atLeast"/>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66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105" w:leftChars="50" w:right="105" w:rightChars="50"/>
              <w:jc w:val="center"/>
              <w:rPr>
                <w:szCs w:val="21"/>
              </w:rPr>
            </w:pP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拆除占绿、毁绿的违章建筑物（构筑物）</w:t>
            </w:r>
          </w:p>
        </w:tc>
        <w:tc>
          <w:tcPr>
            <w:tcW w:w="5227" w:type="dxa"/>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《种植屋面工程技术规程》 (JGJ 155-2013)</w:t>
            </w:r>
          </w:p>
          <w:p>
            <w:pPr>
              <w:spacing w:line="300" w:lineRule="exact"/>
              <w:ind w:left="105" w:leftChars="50" w:right="105" w:rightChars="50"/>
              <w:rPr>
                <w:szCs w:val="21"/>
              </w:rPr>
            </w:pPr>
            <w:r>
              <w:rPr>
                <w:szCs w:val="21"/>
              </w:rPr>
              <w:t>《老旧小区有机更新改造技术导则》（2016年10月）</w:t>
            </w:r>
          </w:p>
          <w:p>
            <w:pPr>
              <w:spacing w:line="300" w:lineRule="exact"/>
              <w:ind w:left="105" w:leftChars="50" w:right="105" w:rightChars="50"/>
              <w:rPr>
                <w:szCs w:val="21"/>
              </w:rPr>
            </w:pPr>
            <w:r>
              <w:rPr>
                <w:szCs w:val="21"/>
              </w:rPr>
              <w:t>《垂直绿化工程技术规程》CJJ/T236-2015</w:t>
            </w:r>
          </w:p>
          <w:p>
            <w:pPr>
              <w:spacing w:line="300" w:lineRule="exact"/>
              <w:ind w:left="105" w:leftChars="50" w:right="105" w:rightChars="50"/>
              <w:rPr>
                <w:szCs w:val="21"/>
              </w:rPr>
            </w:pPr>
            <w:r>
              <w:rPr>
                <w:szCs w:val="21"/>
              </w:rPr>
              <w:t>《城市旧居住区综合改造技术标准》TCSUS04-2019</w:t>
            </w:r>
          </w:p>
        </w:tc>
      </w:tr>
      <w:tr>
        <w:tblPrEx>
          <w:shd w:val="clear" w:color="auto" w:fill="FFFFFF"/>
          <w:tblCellMar>
            <w:top w:w="0" w:type="dxa"/>
            <w:left w:w="0" w:type="dxa"/>
            <w:bottom w:w="0" w:type="dxa"/>
            <w:right w:w="0" w:type="dxa"/>
          </w:tblCellMar>
        </w:tblPrEx>
        <w:trPr>
          <w:wBefore w:w="0" w:type="dxa"/>
          <w:wAfter w:w="0" w:type="dxa"/>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66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105" w:leftChars="50" w:right="105" w:rightChars="50"/>
              <w:jc w:val="center"/>
              <w:rPr>
                <w:szCs w:val="21"/>
              </w:rPr>
            </w:pP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适度增绿，提高绿化覆盖率</w:t>
            </w:r>
          </w:p>
        </w:tc>
        <w:tc>
          <w:tcPr>
            <w:tcW w:w="5227"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00" w:lineRule="exact"/>
              <w:ind w:left="105" w:leftChars="50" w:right="105" w:rightChars="50"/>
              <w:rPr>
                <w:szCs w:val="21"/>
              </w:rPr>
            </w:pPr>
          </w:p>
        </w:tc>
      </w:tr>
      <w:tr>
        <w:tblPrEx>
          <w:shd w:val="clear" w:color="auto" w:fill="FFFFFF"/>
          <w:tblCellMar>
            <w:top w:w="0" w:type="dxa"/>
            <w:left w:w="0" w:type="dxa"/>
            <w:bottom w:w="0" w:type="dxa"/>
            <w:right w:w="0" w:type="dxa"/>
          </w:tblCellMar>
        </w:tblPrEx>
        <w:trPr>
          <w:wBefore w:w="0" w:type="dxa"/>
          <w:wAfter w:w="0" w:type="dxa"/>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66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105" w:leftChars="50" w:right="105" w:rightChars="50"/>
              <w:jc w:val="center"/>
              <w:rPr>
                <w:szCs w:val="21"/>
              </w:rPr>
            </w:pP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考虑四季景观效果，植物配置应保障安全。</w:t>
            </w:r>
          </w:p>
        </w:tc>
        <w:tc>
          <w:tcPr>
            <w:tcW w:w="5227"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00" w:lineRule="exact"/>
              <w:ind w:left="105" w:leftChars="50" w:right="105" w:rightChars="50"/>
              <w:rPr>
                <w:szCs w:val="21"/>
              </w:rPr>
            </w:pPr>
          </w:p>
        </w:tc>
      </w:tr>
      <w:tr>
        <w:tblPrEx>
          <w:shd w:val="clear" w:color="auto" w:fill="FFFFFF"/>
          <w:tblCellMar>
            <w:top w:w="0" w:type="dxa"/>
            <w:left w:w="0" w:type="dxa"/>
            <w:bottom w:w="0" w:type="dxa"/>
            <w:right w:w="0" w:type="dxa"/>
          </w:tblCellMar>
        </w:tblPrEx>
        <w:trPr>
          <w:wBefore w:w="0" w:type="dxa"/>
          <w:wAfter w:w="0" w:type="dxa"/>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66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105" w:leftChars="50" w:right="105" w:rightChars="50"/>
              <w:jc w:val="center"/>
              <w:rPr>
                <w:szCs w:val="21"/>
              </w:rPr>
            </w:pP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采用兼有调蓄、净化、转输功能的绿化方式</w:t>
            </w:r>
          </w:p>
        </w:tc>
        <w:tc>
          <w:tcPr>
            <w:tcW w:w="5227"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00" w:lineRule="exact"/>
              <w:ind w:left="105" w:leftChars="50" w:right="105" w:rightChars="50"/>
              <w:rPr>
                <w:szCs w:val="21"/>
              </w:rPr>
            </w:pPr>
          </w:p>
        </w:tc>
      </w:tr>
      <w:tr>
        <w:tblPrEx>
          <w:shd w:val="clear" w:color="auto" w:fill="FFFFFF"/>
          <w:tblCellMar>
            <w:top w:w="0" w:type="dxa"/>
            <w:left w:w="0" w:type="dxa"/>
            <w:bottom w:w="0" w:type="dxa"/>
            <w:right w:w="0" w:type="dxa"/>
          </w:tblCellMar>
        </w:tblPrEx>
        <w:trPr>
          <w:wBefore w:w="0" w:type="dxa"/>
          <w:wAfter w:w="0" w:type="dxa"/>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rPr>
                <w:szCs w:val="21"/>
              </w:rPr>
            </w:pPr>
          </w:p>
        </w:tc>
        <w:tc>
          <w:tcPr>
            <w:tcW w:w="57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3</w:t>
            </w:r>
          </w:p>
        </w:tc>
        <w:tc>
          <w:tcPr>
            <w:tcW w:w="1667"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05" w:leftChars="50" w:right="105" w:rightChars="50"/>
              <w:jc w:val="center"/>
              <w:rPr>
                <w:szCs w:val="21"/>
              </w:rPr>
            </w:pPr>
            <w:r>
              <w:rPr>
                <w:szCs w:val="21"/>
              </w:rPr>
              <w:t>照明设施改善</w:t>
            </w: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完善照明系统</w:t>
            </w:r>
          </w:p>
        </w:tc>
        <w:tc>
          <w:tcPr>
            <w:tcW w:w="5227" w:type="dxa"/>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300" w:lineRule="exact"/>
              <w:ind w:left="105" w:leftChars="50" w:right="105" w:rightChars="50"/>
              <w:rPr>
                <w:szCs w:val="21"/>
              </w:rPr>
            </w:pPr>
            <w:r>
              <w:rPr>
                <w:szCs w:val="21"/>
              </w:rPr>
              <w:t>《城市夜景照明设计规范》JGJT163-201</w:t>
            </w:r>
          </w:p>
          <w:p>
            <w:pPr>
              <w:spacing w:line="300" w:lineRule="exact"/>
              <w:ind w:left="105" w:leftChars="50" w:right="105" w:rightChars="50"/>
              <w:rPr>
                <w:szCs w:val="21"/>
              </w:rPr>
            </w:pPr>
            <w:r>
              <w:rPr>
                <w:szCs w:val="21"/>
              </w:rPr>
              <w:t>《建筑照明设计标准》GB 50034-2013</w:t>
            </w:r>
          </w:p>
          <w:p>
            <w:pPr>
              <w:spacing w:line="300" w:lineRule="exact"/>
              <w:ind w:left="105" w:leftChars="50" w:right="105" w:rightChars="50"/>
              <w:rPr>
                <w:szCs w:val="21"/>
              </w:rPr>
            </w:pPr>
            <w:r>
              <w:rPr>
                <w:szCs w:val="21"/>
              </w:rPr>
              <w:t>《城市道路照明设计标准》CJJ 45-2015</w:t>
            </w:r>
          </w:p>
        </w:tc>
      </w:tr>
      <w:tr>
        <w:tblPrEx>
          <w:shd w:val="clear" w:color="auto" w:fill="FFFFFF"/>
          <w:tblCellMar>
            <w:top w:w="0" w:type="dxa"/>
            <w:left w:w="0" w:type="dxa"/>
            <w:bottom w:w="0" w:type="dxa"/>
            <w:right w:w="0" w:type="dxa"/>
          </w:tblCellMar>
        </w:tblPrEx>
        <w:trPr>
          <w:wBefore w:w="0" w:type="dxa"/>
          <w:wAfter w:w="0" w:type="dxa"/>
          <w:jc w:val="center"/>
        </w:trPr>
        <w:tc>
          <w:tcPr>
            <w:tcW w:w="815"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rPr>
                <w:szCs w:val="21"/>
              </w:rPr>
            </w:pPr>
          </w:p>
        </w:tc>
        <w:tc>
          <w:tcPr>
            <w:tcW w:w="570"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rPr>
                <w:szCs w:val="21"/>
              </w:rPr>
            </w:pPr>
          </w:p>
        </w:tc>
        <w:tc>
          <w:tcPr>
            <w:tcW w:w="1667"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rPr>
                <w:szCs w:val="21"/>
              </w:rPr>
            </w:pPr>
          </w:p>
        </w:tc>
        <w:tc>
          <w:tcPr>
            <w:tcW w:w="6781" w:type="dxa"/>
            <w:gridSpan w:val="4"/>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50" w:right="50"/>
              <w:rPr>
                <w:szCs w:val="21"/>
              </w:rPr>
            </w:pPr>
            <w:r>
              <w:rPr>
                <w:szCs w:val="21"/>
              </w:rPr>
              <w:t>路灯选型应与小区整体风貌协调</w:t>
            </w:r>
          </w:p>
        </w:tc>
        <w:tc>
          <w:tcPr>
            <w:tcW w:w="5227"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rPr>
                <w:szCs w:val="21"/>
              </w:rPr>
            </w:pPr>
          </w:p>
        </w:tc>
      </w:tr>
    </w:tbl>
    <w:p>
      <w:pPr>
        <w:pStyle w:val="9"/>
        <w:spacing w:before="0" w:beforeAutospacing="0" w:after="0" w:afterAutospacing="0" w:line="560" w:lineRule="exact"/>
        <w:jc w:val="center"/>
        <w:rPr>
          <w:rFonts w:ascii="方正小标宋简体" w:hAnsi="方正小标宋简体" w:eastAsia="方正小标宋简体" w:cs="方正小标宋简体"/>
          <w:color w:val="000000"/>
          <w:sz w:val="44"/>
          <w:szCs w:val="44"/>
          <w:lang w:bidi="ar"/>
        </w:rPr>
        <w:sectPr>
          <w:footerReference r:id="rId7" w:type="default"/>
          <w:footerReference r:id="rId8" w:type="even"/>
          <w:pgSz w:w="16838" w:h="11906" w:orient="landscape"/>
          <w:pgMar w:top="1474" w:right="1418" w:bottom="1474" w:left="1418" w:header="851" w:footer="992" w:gutter="0"/>
          <w:pgNumType w:fmt="numberInDash"/>
          <w:cols w:space="720" w:num="1"/>
          <w:docGrid w:type="lines" w:linePitch="312" w:charSpace="0"/>
        </w:sectPr>
      </w:pPr>
    </w:p>
    <w:tbl>
      <w:tblPr>
        <w:tblStyle w:val="11"/>
        <w:tblW w:w="15150" w:type="dxa"/>
        <w:jc w:val="center"/>
        <w:shd w:val="clear" w:color="auto" w:fill="FFFFFF"/>
        <w:tblLayout w:type="autofit"/>
        <w:tblCellMar>
          <w:top w:w="0" w:type="dxa"/>
          <w:left w:w="0" w:type="dxa"/>
          <w:bottom w:w="0" w:type="dxa"/>
          <w:right w:w="0" w:type="dxa"/>
        </w:tblCellMar>
      </w:tblPr>
      <w:tblGrid>
        <w:gridCol w:w="480"/>
        <w:gridCol w:w="660"/>
        <w:gridCol w:w="1514"/>
        <w:gridCol w:w="5953"/>
        <w:gridCol w:w="6543"/>
      </w:tblGrid>
      <w:tr>
        <w:tblPrEx>
          <w:shd w:val="clear" w:color="auto" w:fill="FFFFFF"/>
          <w:tblCellMar>
            <w:top w:w="0" w:type="dxa"/>
            <w:left w:w="0" w:type="dxa"/>
            <w:bottom w:w="0" w:type="dxa"/>
            <w:right w:w="0" w:type="dxa"/>
          </w:tblCellMar>
        </w:tblPrEx>
        <w:trPr>
          <w:wBefore w:w="0" w:type="dxa"/>
          <w:wAfter w:w="0" w:type="dxa"/>
          <w:trHeight w:val="318" w:hRule="atLeast"/>
          <w:jc w:val="center"/>
        </w:trPr>
        <w:tc>
          <w:tcPr>
            <w:tcW w:w="2654" w:type="dxa"/>
            <w:gridSpan w:val="3"/>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b/>
                <w:bCs/>
                <w:szCs w:val="21"/>
              </w:rPr>
              <w:t>改造内容</w:t>
            </w: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b/>
                <w:bCs/>
                <w:szCs w:val="21"/>
              </w:rPr>
              <w:t>改造要求</w:t>
            </w:r>
          </w:p>
        </w:tc>
        <w:tc>
          <w:tcPr>
            <w:tcW w:w="654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b/>
                <w:bCs/>
                <w:szCs w:val="21"/>
              </w:rPr>
              <w:t>改造标准</w:t>
            </w:r>
          </w:p>
        </w:tc>
      </w:tr>
      <w:tr>
        <w:tblPrEx>
          <w:tblCellMar>
            <w:top w:w="0" w:type="dxa"/>
            <w:left w:w="0" w:type="dxa"/>
            <w:bottom w:w="0" w:type="dxa"/>
            <w:right w:w="0" w:type="dxa"/>
          </w:tblCellMar>
        </w:tblPrEx>
        <w:trPr>
          <w:wBefore w:w="0" w:type="dxa"/>
          <w:wAfter w:w="0" w:type="dxa"/>
          <w:trHeight w:val="617" w:hRule="atLeast"/>
          <w:jc w:val="center"/>
        </w:trPr>
        <w:tc>
          <w:tcPr>
            <w:tcW w:w="48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rFonts w:hint="eastAsia"/>
                <w:b/>
                <w:bCs/>
                <w:szCs w:val="21"/>
              </w:rPr>
            </w:pPr>
            <w:r>
              <w:rPr>
                <w:b/>
                <w:bCs/>
                <w:szCs w:val="21"/>
              </w:rPr>
              <w:t>完</w:t>
            </w:r>
          </w:p>
          <w:p>
            <w:pPr>
              <w:spacing w:line="280" w:lineRule="exact"/>
              <w:jc w:val="center"/>
              <w:rPr>
                <w:rFonts w:hint="eastAsia"/>
                <w:b/>
                <w:bCs/>
                <w:szCs w:val="21"/>
              </w:rPr>
            </w:pPr>
            <w:r>
              <w:rPr>
                <w:b/>
                <w:bCs/>
                <w:szCs w:val="21"/>
              </w:rPr>
              <w:t>善</w:t>
            </w:r>
          </w:p>
          <w:p>
            <w:pPr>
              <w:spacing w:line="280" w:lineRule="exact"/>
              <w:jc w:val="center"/>
              <w:rPr>
                <w:szCs w:val="21"/>
              </w:rPr>
            </w:pPr>
            <w:r>
              <w:rPr>
                <w:b/>
                <w:bCs/>
                <w:szCs w:val="21"/>
              </w:rPr>
              <w:t>类</w:t>
            </w:r>
          </w:p>
        </w:tc>
        <w:tc>
          <w:tcPr>
            <w:tcW w:w="66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4</w:t>
            </w:r>
          </w:p>
        </w:tc>
        <w:tc>
          <w:tcPr>
            <w:tcW w:w="1514"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right="105" w:rightChars="50"/>
              <w:jc w:val="center"/>
              <w:rPr>
                <w:szCs w:val="21"/>
              </w:rPr>
            </w:pPr>
            <w:r>
              <w:rPr>
                <w:szCs w:val="21"/>
              </w:rPr>
              <w:t>适老化与无障碍设施</w:t>
            </w: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增加适老化设施</w:t>
            </w:r>
          </w:p>
        </w:tc>
        <w:tc>
          <w:tcPr>
            <w:tcW w:w="654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94" w:leftChars="45" w:right="195" w:rightChars="93" w:firstLine="12" w:firstLineChars="6"/>
              <w:rPr>
                <w:szCs w:val="21"/>
              </w:rPr>
            </w:pPr>
            <w:r>
              <w:rPr>
                <w:szCs w:val="21"/>
              </w:rPr>
              <w:t>《城镇老年人设施规划规范》GB 50437-2007（2018年版）《老年人照料设施建筑设计标准》JGJ450-2018</w:t>
            </w:r>
          </w:p>
        </w:tc>
      </w:tr>
      <w:tr>
        <w:tblPrEx>
          <w:tblCellMar>
            <w:top w:w="0" w:type="dxa"/>
            <w:left w:w="0" w:type="dxa"/>
            <w:bottom w:w="0" w:type="dxa"/>
            <w:right w:w="0" w:type="dxa"/>
          </w:tblCellMar>
        </w:tblPrEx>
        <w:trPr>
          <w:wBefore w:w="0" w:type="dxa"/>
          <w:wAfter w:w="0" w:type="dxa"/>
          <w:trHeight w:val="234"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514"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right="105" w:rightChars="50"/>
              <w:jc w:val="center"/>
              <w:rPr>
                <w:szCs w:val="21"/>
              </w:rPr>
            </w:pP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“互联网+医疗”的智能医疗</w:t>
            </w:r>
          </w:p>
        </w:tc>
        <w:tc>
          <w:tcPr>
            <w:tcW w:w="6543"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94" w:leftChars="45" w:right="195" w:rightChars="93" w:firstLine="12" w:firstLineChars="6"/>
              <w:rPr>
                <w:szCs w:val="21"/>
              </w:rPr>
            </w:pPr>
            <w:r>
              <w:rPr>
                <w:szCs w:val="21"/>
              </w:rPr>
              <w:t>《无障碍设计规范》GB50763-2012</w:t>
            </w:r>
          </w:p>
        </w:tc>
      </w:tr>
      <w:tr>
        <w:tblPrEx>
          <w:tblCellMar>
            <w:top w:w="0" w:type="dxa"/>
            <w:left w:w="0" w:type="dxa"/>
            <w:bottom w:w="0" w:type="dxa"/>
            <w:right w:w="0" w:type="dxa"/>
          </w:tblCellMar>
        </w:tblPrEx>
        <w:trPr>
          <w:wBefore w:w="0" w:type="dxa"/>
          <w:wAfter w:w="0" w:type="dxa"/>
          <w:trHeight w:val="318"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514"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right="105" w:rightChars="50"/>
              <w:jc w:val="center"/>
              <w:rPr>
                <w:szCs w:val="21"/>
              </w:rPr>
            </w:pP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完善无障碍设施</w:t>
            </w:r>
          </w:p>
        </w:tc>
        <w:tc>
          <w:tcPr>
            <w:tcW w:w="6543"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94" w:leftChars="45" w:right="195" w:rightChars="93" w:firstLine="12" w:firstLineChars="6"/>
              <w:rPr>
                <w:szCs w:val="21"/>
              </w:rPr>
            </w:pPr>
          </w:p>
        </w:tc>
      </w:tr>
      <w:tr>
        <w:tblPrEx>
          <w:tblCellMar>
            <w:top w:w="0" w:type="dxa"/>
            <w:left w:w="0" w:type="dxa"/>
            <w:bottom w:w="0" w:type="dxa"/>
            <w:right w:w="0" w:type="dxa"/>
          </w:tblCellMar>
        </w:tblPrEx>
        <w:trPr>
          <w:wBefore w:w="0" w:type="dxa"/>
          <w:wAfter w:w="0" w:type="dxa"/>
          <w:trHeight w:val="178"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66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5</w:t>
            </w:r>
          </w:p>
        </w:tc>
        <w:tc>
          <w:tcPr>
            <w:tcW w:w="1514"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right="105" w:rightChars="50"/>
              <w:jc w:val="center"/>
              <w:rPr>
                <w:szCs w:val="21"/>
              </w:rPr>
            </w:pPr>
            <w:r>
              <w:rPr>
                <w:szCs w:val="21"/>
              </w:rPr>
              <w:t>停车库（场）</w:t>
            </w: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规范小区停车</w:t>
            </w:r>
          </w:p>
        </w:tc>
        <w:tc>
          <w:tcPr>
            <w:tcW w:w="6543"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94" w:leftChars="45" w:right="195" w:rightChars="93" w:firstLine="12" w:firstLineChars="6"/>
              <w:rPr>
                <w:szCs w:val="21"/>
              </w:rPr>
            </w:pPr>
            <w:r>
              <w:rPr>
                <w:szCs w:val="21"/>
              </w:rPr>
              <w:t>《城市停车规划规范》GB/T 51149-2016</w:t>
            </w:r>
          </w:p>
          <w:p>
            <w:pPr>
              <w:spacing w:line="280" w:lineRule="exact"/>
              <w:ind w:left="94" w:leftChars="45" w:right="195" w:rightChars="93" w:firstLine="12" w:firstLineChars="6"/>
              <w:rPr>
                <w:szCs w:val="21"/>
              </w:rPr>
            </w:pPr>
            <w:r>
              <w:rPr>
                <w:szCs w:val="21"/>
              </w:rPr>
              <w:t>《车库建筑设计规范》JGJ100-2015</w:t>
            </w:r>
          </w:p>
        </w:tc>
      </w:tr>
      <w:tr>
        <w:tblPrEx>
          <w:tblCellMar>
            <w:top w:w="0" w:type="dxa"/>
            <w:left w:w="0" w:type="dxa"/>
            <w:bottom w:w="0" w:type="dxa"/>
            <w:right w:w="0" w:type="dxa"/>
          </w:tblCellMar>
        </w:tblPrEx>
        <w:trPr>
          <w:wBefore w:w="0" w:type="dxa"/>
          <w:wAfter w:w="0" w:type="dxa"/>
          <w:trHeight w:val="247"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514"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right="105" w:rightChars="50"/>
              <w:jc w:val="center"/>
              <w:rPr>
                <w:szCs w:val="21"/>
              </w:rPr>
            </w:pP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优化提升原有非机动车停车设施</w:t>
            </w:r>
          </w:p>
        </w:tc>
        <w:tc>
          <w:tcPr>
            <w:tcW w:w="6543"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94" w:leftChars="45" w:right="195" w:rightChars="93" w:firstLine="12" w:firstLineChars="6"/>
              <w:rPr>
                <w:szCs w:val="21"/>
              </w:rPr>
            </w:pPr>
          </w:p>
        </w:tc>
      </w:tr>
      <w:tr>
        <w:tblPrEx>
          <w:tblCellMar>
            <w:top w:w="0" w:type="dxa"/>
            <w:left w:w="0" w:type="dxa"/>
            <w:bottom w:w="0" w:type="dxa"/>
            <w:right w:w="0" w:type="dxa"/>
          </w:tblCellMar>
        </w:tblPrEx>
        <w:trPr>
          <w:wBefore w:w="0" w:type="dxa"/>
          <w:wAfter w:w="0" w:type="dxa"/>
          <w:trHeight w:val="206"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514"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right="105" w:rightChars="50"/>
              <w:jc w:val="center"/>
              <w:rPr>
                <w:szCs w:val="21"/>
              </w:rPr>
            </w:pP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新增停车位</w:t>
            </w:r>
          </w:p>
        </w:tc>
        <w:tc>
          <w:tcPr>
            <w:tcW w:w="6543"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94" w:leftChars="45" w:right="195" w:rightChars="93" w:firstLine="12" w:firstLineChars="6"/>
              <w:rPr>
                <w:szCs w:val="21"/>
              </w:rPr>
            </w:pPr>
          </w:p>
        </w:tc>
      </w:tr>
      <w:tr>
        <w:tblPrEx>
          <w:tblCellMar>
            <w:top w:w="0" w:type="dxa"/>
            <w:left w:w="0" w:type="dxa"/>
            <w:bottom w:w="0" w:type="dxa"/>
            <w:right w:w="0" w:type="dxa"/>
          </w:tblCellMar>
        </w:tblPrEx>
        <w:trPr>
          <w:wBefore w:w="0" w:type="dxa"/>
          <w:wAfter w:w="0" w:type="dxa"/>
          <w:trHeight w:val="616"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660"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6</w:t>
            </w:r>
          </w:p>
        </w:tc>
        <w:tc>
          <w:tcPr>
            <w:tcW w:w="1514"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right="105" w:rightChars="50"/>
              <w:jc w:val="center"/>
              <w:rPr>
                <w:szCs w:val="21"/>
              </w:rPr>
            </w:pPr>
            <w:r>
              <w:rPr>
                <w:szCs w:val="21"/>
              </w:rPr>
              <w:t>电动自行车及汽车充电设施</w:t>
            </w: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规划预留充电设施，合理设置电动自行车集中充电、停放场所</w:t>
            </w:r>
          </w:p>
        </w:tc>
        <w:tc>
          <w:tcPr>
            <w:tcW w:w="654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94" w:leftChars="45" w:right="195" w:rightChars="93" w:firstLine="12" w:firstLineChars="6"/>
              <w:rPr>
                <w:szCs w:val="21"/>
              </w:rPr>
            </w:pPr>
            <w:r>
              <w:rPr>
                <w:szCs w:val="21"/>
              </w:rPr>
              <w:t>《电动汽车分散充电设施工程技术标准》GB/T51313-2018</w:t>
            </w:r>
          </w:p>
          <w:p>
            <w:pPr>
              <w:spacing w:line="280" w:lineRule="exact"/>
              <w:ind w:left="94" w:leftChars="45" w:right="195" w:rightChars="93" w:firstLine="12" w:firstLineChars="6"/>
              <w:rPr>
                <w:szCs w:val="21"/>
              </w:rPr>
            </w:pPr>
            <w:r>
              <w:rPr>
                <w:szCs w:val="21"/>
              </w:rPr>
              <w:t>《汽车库、修车库、停车场设计防火规范》GB50067-2014</w:t>
            </w:r>
          </w:p>
        </w:tc>
      </w:tr>
      <w:tr>
        <w:tblPrEx>
          <w:tblCellMar>
            <w:top w:w="0" w:type="dxa"/>
            <w:left w:w="0" w:type="dxa"/>
            <w:bottom w:w="0" w:type="dxa"/>
            <w:right w:w="0" w:type="dxa"/>
          </w:tblCellMar>
        </w:tblPrEx>
        <w:trPr>
          <w:wBefore w:w="0" w:type="dxa"/>
          <w:wAfter w:w="0" w:type="dxa"/>
          <w:trHeight w:val="881"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660"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7</w:t>
            </w:r>
          </w:p>
        </w:tc>
        <w:tc>
          <w:tcPr>
            <w:tcW w:w="1514"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right="105" w:rightChars="50"/>
              <w:jc w:val="center"/>
              <w:rPr>
                <w:rFonts w:hint="eastAsia"/>
                <w:szCs w:val="21"/>
              </w:rPr>
            </w:pPr>
            <w:r>
              <w:rPr>
                <w:rFonts w:hint="eastAsia"/>
                <w:szCs w:val="21"/>
              </w:rPr>
              <w:t xml:space="preserve"> </w:t>
            </w:r>
            <w:r>
              <w:rPr>
                <w:szCs w:val="21"/>
              </w:rPr>
              <w:t>智能快件箱、</w:t>
            </w:r>
          </w:p>
          <w:p>
            <w:pPr>
              <w:spacing w:line="280" w:lineRule="exact"/>
              <w:ind w:right="105" w:rightChars="50"/>
              <w:jc w:val="center"/>
              <w:rPr>
                <w:szCs w:val="21"/>
              </w:rPr>
            </w:pPr>
            <w:r>
              <w:rPr>
                <w:szCs w:val="21"/>
              </w:rPr>
              <w:t>智能信包箱</w:t>
            </w: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按需更新或升级老旧信报箱，将其改造为集信报箱和智能快件柜功能于一体的智能包裹箱。</w:t>
            </w:r>
          </w:p>
        </w:tc>
        <w:tc>
          <w:tcPr>
            <w:tcW w:w="654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94" w:leftChars="45" w:right="195" w:rightChars="93" w:firstLine="12" w:firstLineChars="6"/>
              <w:rPr>
                <w:szCs w:val="21"/>
              </w:rPr>
            </w:pPr>
            <w:r>
              <w:rPr>
                <w:szCs w:val="21"/>
              </w:rPr>
              <w:t>《住宅信报箱工程技术规范》GB50631-2010</w:t>
            </w:r>
          </w:p>
          <w:p>
            <w:pPr>
              <w:spacing w:line="280" w:lineRule="exact"/>
              <w:ind w:left="94" w:leftChars="45" w:right="195" w:rightChars="93" w:firstLine="12" w:firstLineChars="6"/>
              <w:rPr>
                <w:szCs w:val="21"/>
              </w:rPr>
            </w:pPr>
            <w:r>
              <w:rPr>
                <w:szCs w:val="21"/>
              </w:rPr>
              <w:t>《快递服务》YZ/T0128-2007</w:t>
            </w:r>
          </w:p>
          <w:p>
            <w:pPr>
              <w:spacing w:line="280" w:lineRule="exact"/>
              <w:ind w:left="94" w:leftChars="45" w:right="195" w:rightChars="93" w:firstLine="12" w:firstLineChars="6"/>
              <w:rPr>
                <w:szCs w:val="21"/>
              </w:rPr>
            </w:pPr>
            <w:r>
              <w:rPr>
                <w:szCs w:val="21"/>
              </w:rPr>
              <w:t>《居住区智能信报箱应用技术标准》DBJ61/T172-2020</w:t>
            </w:r>
          </w:p>
        </w:tc>
      </w:tr>
      <w:tr>
        <w:tblPrEx>
          <w:tblCellMar>
            <w:top w:w="0" w:type="dxa"/>
            <w:left w:w="0" w:type="dxa"/>
            <w:bottom w:w="0" w:type="dxa"/>
            <w:right w:w="0" w:type="dxa"/>
          </w:tblCellMar>
        </w:tblPrEx>
        <w:trPr>
          <w:wBefore w:w="0" w:type="dxa"/>
          <w:wAfter w:w="0" w:type="dxa"/>
          <w:trHeight w:val="485"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660"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8</w:t>
            </w:r>
          </w:p>
        </w:tc>
        <w:tc>
          <w:tcPr>
            <w:tcW w:w="1514"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right="105" w:rightChars="50"/>
              <w:jc w:val="center"/>
              <w:rPr>
                <w:szCs w:val="21"/>
              </w:rPr>
            </w:pPr>
            <w:r>
              <w:rPr>
                <w:szCs w:val="21"/>
              </w:rPr>
              <w:t>文化休闲设施</w:t>
            </w: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鼓励与社区党群服务中心、社区服务用房等设施联合建设</w:t>
            </w:r>
          </w:p>
        </w:tc>
        <w:tc>
          <w:tcPr>
            <w:tcW w:w="6543"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94" w:leftChars="45" w:right="195" w:rightChars="93" w:firstLine="12" w:firstLineChars="6"/>
              <w:rPr>
                <w:szCs w:val="21"/>
              </w:rPr>
            </w:pPr>
            <w:r>
              <w:rPr>
                <w:szCs w:val="21"/>
              </w:rPr>
              <w:t>《城市居住区规划设计标准》GB50180-2018</w:t>
            </w:r>
          </w:p>
          <w:p>
            <w:pPr>
              <w:spacing w:line="280" w:lineRule="exact"/>
              <w:ind w:left="94" w:leftChars="45" w:right="195" w:rightChars="93" w:firstLine="12" w:firstLineChars="6"/>
              <w:rPr>
                <w:szCs w:val="21"/>
              </w:rPr>
            </w:pPr>
            <w:r>
              <w:rPr>
                <w:szCs w:val="21"/>
              </w:rPr>
              <w:t>《城市社区多功能公共运动场配置要求》GB/T34419-2017）</w:t>
            </w:r>
          </w:p>
          <w:p>
            <w:pPr>
              <w:spacing w:line="280" w:lineRule="exact"/>
              <w:ind w:left="94" w:leftChars="45" w:right="195" w:rightChars="93" w:firstLine="12" w:firstLineChars="6"/>
              <w:rPr>
                <w:szCs w:val="21"/>
              </w:rPr>
            </w:pPr>
            <w:r>
              <w:rPr>
                <w:szCs w:val="21"/>
              </w:rPr>
              <w:t>《公共体育设施室外健身设施的配置与管理》GB/T34290-2017</w:t>
            </w:r>
          </w:p>
          <w:p>
            <w:pPr>
              <w:spacing w:line="280" w:lineRule="exact"/>
              <w:ind w:left="94" w:leftChars="45" w:right="195" w:rightChars="93" w:firstLine="12" w:firstLineChars="6"/>
              <w:rPr>
                <w:szCs w:val="21"/>
              </w:rPr>
            </w:pPr>
            <w:r>
              <w:rPr>
                <w:szCs w:val="21"/>
              </w:rPr>
              <w:t>《陕西省人民政府办公厅关于印发基层综合性文化服务中心建设实施方案的通知》（2016）</w:t>
            </w:r>
          </w:p>
        </w:tc>
      </w:tr>
      <w:tr>
        <w:tblPrEx>
          <w:tblCellMar>
            <w:top w:w="0" w:type="dxa"/>
            <w:left w:w="0" w:type="dxa"/>
            <w:bottom w:w="0" w:type="dxa"/>
            <w:right w:w="0" w:type="dxa"/>
          </w:tblCellMar>
        </w:tblPrEx>
        <w:trPr>
          <w:wBefore w:w="0" w:type="dxa"/>
          <w:wAfter w:w="0" w:type="dxa"/>
          <w:trHeight w:val="373"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66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9</w:t>
            </w:r>
          </w:p>
        </w:tc>
        <w:tc>
          <w:tcPr>
            <w:tcW w:w="1514"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right="105" w:rightChars="50"/>
              <w:jc w:val="center"/>
              <w:rPr>
                <w:szCs w:val="21"/>
              </w:rPr>
            </w:pPr>
            <w:r>
              <w:rPr>
                <w:szCs w:val="21"/>
              </w:rPr>
              <w:t>体育健身设施</w:t>
            </w: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建设室外体育健身设施</w:t>
            </w:r>
          </w:p>
        </w:tc>
        <w:tc>
          <w:tcPr>
            <w:tcW w:w="6543"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94" w:leftChars="45" w:right="195" w:rightChars="93" w:firstLine="12" w:firstLineChars="6"/>
              <w:rPr>
                <w:szCs w:val="21"/>
              </w:rPr>
            </w:pPr>
          </w:p>
        </w:tc>
      </w:tr>
      <w:tr>
        <w:tblPrEx>
          <w:tblCellMar>
            <w:top w:w="0" w:type="dxa"/>
            <w:left w:w="0" w:type="dxa"/>
            <w:bottom w:w="0" w:type="dxa"/>
            <w:right w:w="0" w:type="dxa"/>
          </w:tblCellMar>
        </w:tblPrEx>
        <w:trPr>
          <w:wBefore w:w="0" w:type="dxa"/>
          <w:wAfter w:w="0" w:type="dxa"/>
          <w:trHeight w:val="545"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514"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right="105" w:rightChars="50"/>
              <w:jc w:val="center"/>
              <w:rPr>
                <w:szCs w:val="21"/>
              </w:rPr>
            </w:pP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特殊群体使用的健身设施应设置安全设施</w:t>
            </w:r>
          </w:p>
        </w:tc>
        <w:tc>
          <w:tcPr>
            <w:tcW w:w="6543"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94" w:leftChars="45" w:right="195" w:rightChars="93" w:firstLine="12" w:firstLineChars="6"/>
              <w:rPr>
                <w:szCs w:val="21"/>
              </w:rPr>
            </w:pPr>
          </w:p>
        </w:tc>
      </w:tr>
      <w:tr>
        <w:tblPrEx>
          <w:tblCellMar>
            <w:top w:w="0" w:type="dxa"/>
            <w:left w:w="0" w:type="dxa"/>
            <w:bottom w:w="0" w:type="dxa"/>
            <w:right w:w="0" w:type="dxa"/>
          </w:tblCellMar>
        </w:tblPrEx>
        <w:trPr>
          <w:wBefore w:w="0" w:type="dxa"/>
          <w:wAfter w:w="0" w:type="dxa"/>
          <w:trHeight w:val="318"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66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10</w:t>
            </w:r>
          </w:p>
        </w:tc>
        <w:tc>
          <w:tcPr>
            <w:tcW w:w="1514"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right="105" w:rightChars="50"/>
              <w:jc w:val="center"/>
              <w:rPr>
                <w:szCs w:val="21"/>
              </w:rPr>
            </w:pPr>
            <w:r>
              <w:rPr>
                <w:szCs w:val="21"/>
              </w:rPr>
              <w:t>物业管理</w:t>
            </w: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明确物业管理服务区域</w:t>
            </w:r>
          </w:p>
        </w:tc>
        <w:tc>
          <w:tcPr>
            <w:tcW w:w="6543"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94" w:leftChars="45" w:right="195" w:rightChars="93" w:firstLine="12" w:firstLineChars="6"/>
              <w:rPr>
                <w:szCs w:val="21"/>
              </w:rPr>
            </w:pPr>
            <w:r>
              <w:rPr>
                <w:rFonts w:hint="eastAsia"/>
                <w:szCs w:val="21"/>
              </w:rPr>
              <w:t>《中华人民共和国物权法》</w:t>
            </w:r>
          </w:p>
          <w:p>
            <w:pPr>
              <w:spacing w:line="280" w:lineRule="exact"/>
              <w:ind w:left="94" w:leftChars="45" w:right="195" w:rightChars="93" w:firstLine="12" w:firstLineChars="6"/>
              <w:rPr>
                <w:szCs w:val="21"/>
              </w:rPr>
            </w:pPr>
            <w:r>
              <w:rPr>
                <w:rFonts w:hint="eastAsia"/>
                <w:szCs w:val="21"/>
              </w:rPr>
              <w:t>《物业管理条例》</w:t>
            </w:r>
          </w:p>
          <w:p>
            <w:pPr>
              <w:spacing w:line="280" w:lineRule="exact"/>
              <w:ind w:left="94" w:leftChars="45" w:right="195" w:rightChars="93" w:firstLine="12" w:firstLineChars="6"/>
              <w:rPr>
                <w:szCs w:val="21"/>
              </w:rPr>
            </w:pPr>
            <w:r>
              <w:rPr>
                <w:rFonts w:hint="eastAsia"/>
                <w:szCs w:val="21"/>
              </w:rPr>
              <w:t>《陕西省物业管理条例》</w:t>
            </w:r>
          </w:p>
        </w:tc>
      </w:tr>
      <w:tr>
        <w:tblPrEx>
          <w:tblCellMar>
            <w:top w:w="0" w:type="dxa"/>
            <w:left w:w="0" w:type="dxa"/>
            <w:bottom w:w="0" w:type="dxa"/>
            <w:right w:w="0" w:type="dxa"/>
          </w:tblCellMar>
        </w:tblPrEx>
        <w:trPr>
          <w:wBefore w:w="0" w:type="dxa"/>
          <w:wAfter w:w="0" w:type="dxa"/>
          <w:trHeight w:val="573"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1514"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right="105" w:rightChars="50"/>
              <w:jc w:val="center"/>
              <w:rPr>
                <w:szCs w:val="21"/>
              </w:rPr>
            </w:pP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按物业总建筑面积的0.2%配置物业管理与服务用房</w:t>
            </w:r>
          </w:p>
        </w:tc>
        <w:tc>
          <w:tcPr>
            <w:tcW w:w="6543"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ind w:left="94" w:leftChars="45" w:right="195" w:rightChars="93" w:firstLine="12" w:firstLineChars="6"/>
              <w:rPr>
                <w:szCs w:val="21"/>
              </w:rPr>
            </w:pPr>
          </w:p>
        </w:tc>
      </w:tr>
      <w:tr>
        <w:tblPrEx>
          <w:tblCellMar>
            <w:top w:w="0" w:type="dxa"/>
            <w:left w:w="0" w:type="dxa"/>
            <w:bottom w:w="0" w:type="dxa"/>
            <w:right w:w="0" w:type="dxa"/>
          </w:tblCellMar>
        </w:tblPrEx>
        <w:trPr>
          <w:wBefore w:w="0" w:type="dxa"/>
          <w:wAfter w:w="0" w:type="dxa"/>
          <w:trHeight w:val="1468"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jc w:val="center"/>
              <w:rPr>
                <w:szCs w:val="21"/>
              </w:rPr>
            </w:pPr>
          </w:p>
        </w:tc>
        <w:tc>
          <w:tcPr>
            <w:tcW w:w="660"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jc w:val="center"/>
              <w:rPr>
                <w:szCs w:val="21"/>
              </w:rPr>
            </w:pPr>
            <w:r>
              <w:rPr>
                <w:szCs w:val="21"/>
              </w:rPr>
              <w:t>11</w:t>
            </w:r>
          </w:p>
        </w:tc>
        <w:tc>
          <w:tcPr>
            <w:tcW w:w="1514" w:type="dxa"/>
            <w:vMerge w:val="restart"/>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right="105" w:rightChars="50"/>
              <w:jc w:val="center"/>
              <w:rPr>
                <w:szCs w:val="21"/>
              </w:rPr>
            </w:pPr>
            <w:r>
              <w:rPr>
                <w:szCs w:val="21"/>
              </w:rPr>
              <w:t>建筑节能改造</w:t>
            </w: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考虑地区气候特点选择适宜方式进行节能改造</w:t>
            </w:r>
          </w:p>
        </w:tc>
        <w:tc>
          <w:tcPr>
            <w:tcW w:w="654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94" w:leftChars="45" w:right="195" w:rightChars="93" w:firstLine="12" w:firstLineChars="6"/>
              <w:rPr>
                <w:szCs w:val="21"/>
              </w:rPr>
            </w:pPr>
            <w:r>
              <w:rPr>
                <w:szCs w:val="21"/>
              </w:rPr>
              <w:t>《老旧小区有机更新改造技术导则》（2016年10月）</w:t>
            </w:r>
          </w:p>
          <w:p>
            <w:pPr>
              <w:spacing w:line="280" w:lineRule="exact"/>
              <w:ind w:left="94" w:leftChars="45" w:right="195" w:rightChars="93" w:firstLine="12" w:firstLineChars="6"/>
              <w:rPr>
                <w:szCs w:val="21"/>
              </w:rPr>
            </w:pPr>
            <w:r>
              <w:rPr>
                <w:szCs w:val="21"/>
              </w:rPr>
              <w:t>《城市旧居住区综合改造技术标准》TCSUS04-2019</w:t>
            </w:r>
          </w:p>
          <w:p>
            <w:pPr>
              <w:spacing w:line="280" w:lineRule="exact"/>
              <w:ind w:left="94" w:leftChars="45" w:right="195" w:rightChars="93" w:firstLine="12" w:firstLineChars="6"/>
              <w:rPr>
                <w:szCs w:val="21"/>
              </w:rPr>
            </w:pPr>
            <w:r>
              <w:rPr>
                <w:szCs w:val="21"/>
              </w:rPr>
              <w:t xml:space="preserve">《既有居住建筑节能改造》16J908 </w:t>
            </w:r>
          </w:p>
          <w:p>
            <w:pPr>
              <w:spacing w:line="280" w:lineRule="exact"/>
              <w:ind w:left="94" w:leftChars="45" w:right="195" w:rightChars="93" w:firstLine="12" w:firstLineChars="6"/>
              <w:rPr>
                <w:szCs w:val="21"/>
              </w:rPr>
            </w:pPr>
            <w:r>
              <w:rPr>
                <w:szCs w:val="21"/>
              </w:rPr>
              <w:t>《既有居住建筑节能改造技术规程》JGJ/T129</w:t>
            </w:r>
          </w:p>
          <w:p>
            <w:pPr>
              <w:spacing w:line="280" w:lineRule="exact"/>
              <w:ind w:left="94" w:leftChars="45" w:right="195" w:rightChars="93" w:firstLine="12" w:firstLineChars="6"/>
              <w:rPr>
                <w:szCs w:val="21"/>
              </w:rPr>
            </w:pPr>
            <w:r>
              <w:rPr>
                <w:szCs w:val="21"/>
              </w:rPr>
              <w:t>《建筑外墙外保温工程质量保险规程》 T/CABEE 001-2019</w:t>
            </w:r>
          </w:p>
        </w:tc>
      </w:tr>
      <w:tr>
        <w:tblPrEx>
          <w:tblCellMar>
            <w:top w:w="0" w:type="dxa"/>
            <w:left w:w="0" w:type="dxa"/>
            <w:bottom w:w="0" w:type="dxa"/>
            <w:right w:w="0" w:type="dxa"/>
          </w:tblCellMar>
        </w:tblPrEx>
        <w:trPr>
          <w:wBefore w:w="0" w:type="dxa"/>
          <w:wAfter w:w="0" w:type="dxa"/>
          <w:trHeight w:val="448"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rPr>
                <w:szCs w:val="21"/>
              </w:rPr>
            </w:pPr>
          </w:p>
        </w:tc>
        <w:tc>
          <w:tcPr>
            <w:tcW w:w="0" w:type="auto"/>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rPr>
                <w:szCs w:val="21"/>
              </w:rPr>
            </w:pPr>
          </w:p>
        </w:tc>
        <w:tc>
          <w:tcPr>
            <w:tcW w:w="1514"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280" w:lineRule="exact"/>
              <w:rPr>
                <w:szCs w:val="21"/>
              </w:rPr>
            </w:pPr>
          </w:p>
        </w:tc>
        <w:tc>
          <w:tcPr>
            <w:tcW w:w="595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113" w:leftChars="54" w:right="126" w:rightChars="60"/>
              <w:rPr>
                <w:szCs w:val="21"/>
              </w:rPr>
            </w:pPr>
            <w:r>
              <w:rPr>
                <w:szCs w:val="21"/>
              </w:rPr>
              <w:t>优先改善门窗的保温和遮阳性能、屋面和外墙的保温隔热性能</w:t>
            </w:r>
          </w:p>
        </w:tc>
        <w:tc>
          <w:tcPr>
            <w:tcW w:w="6543"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bottom w:w="15" w:type="dxa"/>
              <w:right w:w="15" w:type="dxa"/>
            </w:tcMar>
            <w:vAlign w:val="center"/>
          </w:tcPr>
          <w:p>
            <w:pPr>
              <w:spacing w:line="280" w:lineRule="exact"/>
              <w:ind w:left="94" w:leftChars="45" w:right="195" w:rightChars="93" w:firstLine="12" w:firstLineChars="6"/>
              <w:rPr>
                <w:szCs w:val="21"/>
              </w:rPr>
            </w:pPr>
            <w:r>
              <w:rPr>
                <w:szCs w:val="21"/>
              </w:rPr>
              <w:t>《既有居住建筑节能改造技术规程》JGJ/T129-2012</w:t>
            </w:r>
          </w:p>
        </w:tc>
      </w:tr>
    </w:tbl>
    <w:p>
      <w:pPr>
        <w:pStyle w:val="9"/>
        <w:spacing w:before="0" w:beforeAutospacing="0" w:after="0" w:afterAutospacing="0" w:line="560" w:lineRule="exact"/>
        <w:jc w:val="center"/>
        <w:rPr>
          <w:rFonts w:ascii="方正小标宋简体" w:hAnsi="方正小标宋简体" w:eastAsia="方正小标宋简体" w:cs="方正小标宋简体"/>
          <w:color w:val="000000"/>
          <w:sz w:val="44"/>
          <w:szCs w:val="44"/>
          <w:lang w:bidi="ar"/>
        </w:rPr>
        <w:sectPr>
          <w:pgSz w:w="16838" w:h="11906" w:orient="landscape"/>
          <w:pgMar w:top="1474" w:right="1440" w:bottom="1531" w:left="1440" w:header="851" w:footer="992" w:gutter="0"/>
          <w:pgNumType w:fmt="numberInDash"/>
          <w:cols w:space="720" w:num="1"/>
          <w:docGrid w:type="lines" w:linePitch="312" w:charSpace="0"/>
        </w:sectPr>
      </w:pPr>
    </w:p>
    <w:tbl>
      <w:tblPr>
        <w:tblStyle w:val="11"/>
        <w:tblW w:w="15182" w:type="dxa"/>
        <w:jc w:val="center"/>
        <w:tblLayout w:type="autofit"/>
        <w:tblCellMar>
          <w:top w:w="0" w:type="dxa"/>
          <w:left w:w="0" w:type="dxa"/>
          <w:bottom w:w="0" w:type="dxa"/>
          <w:right w:w="0" w:type="dxa"/>
        </w:tblCellMar>
      </w:tblPr>
      <w:tblGrid>
        <w:gridCol w:w="540"/>
        <w:gridCol w:w="644"/>
        <w:gridCol w:w="1512"/>
        <w:gridCol w:w="5991"/>
        <w:gridCol w:w="6495"/>
      </w:tblGrid>
      <w:tr>
        <w:tblPrEx>
          <w:tblCellMar>
            <w:top w:w="0" w:type="dxa"/>
            <w:left w:w="0" w:type="dxa"/>
            <w:bottom w:w="0" w:type="dxa"/>
            <w:right w:w="0" w:type="dxa"/>
          </w:tblCellMar>
        </w:tblPrEx>
        <w:trPr>
          <w:wBefore w:w="0" w:type="dxa"/>
          <w:wAfter w:w="0" w:type="dxa"/>
          <w:trHeight w:val="354" w:hRule="atLeast"/>
          <w:jc w:val="center"/>
        </w:trPr>
        <w:tc>
          <w:tcPr>
            <w:tcW w:w="2696" w:type="dxa"/>
            <w:gridSpan w:val="3"/>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b/>
                <w:bCs/>
                <w:szCs w:val="21"/>
              </w:rPr>
              <w:t>改造内容</w:t>
            </w: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b/>
                <w:bCs/>
                <w:szCs w:val="21"/>
              </w:rPr>
              <w:t>改造要求</w:t>
            </w:r>
          </w:p>
        </w:tc>
        <w:tc>
          <w:tcPr>
            <w:tcW w:w="6495"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b/>
                <w:bCs/>
                <w:szCs w:val="21"/>
              </w:rPr>
              <w:t>改造标准</w:t>
            </w:r>
          </w:p>
        </w:tc>
      </w:tr>
      <w:tr>
        <w:tblPrEx>
          <w:tblCellMar>
            <w:top w:w="0" w:type="dxa"/>
            <w:left w:w="0" w:type="dxa"/>
            <w:bottom w:w="0" w:type="dxa"/>
            <w:right w:w="0" w:type="dxa"/>
          </w:tblCellMar>
        </w:tblPrEx>
        <w:trPr>
          <w:wBefore w:w="0" w:type="dxa"/>
          <w:wAfter w:w="0" w:type="dxa"/>
          <w:trHeight w:val="38" w:hRule="atLeast"/>
          <w:jc w:val="center"/>
        </w:trPr>
        <w:tc>
          <w:tcPr>
            <w:tcW w:w="540"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rFonts w:hint="eastAsia"/>
                <w:b/>
                <w:bCs/>
                <w:szCs w:val="21"/>
              </w:rPr>
            </w:pPr>
            <w:r>
              <w:rPr>
                <w:b/>
                <w:bCs/>
                <w:szCs w:val="21"/>
              </w:rPr>
              <w:t>完</w:t>
            </w:r>
          </w:p>
          <w:p>
            <w:pPr>
              <w:spacing w:line="340" w:lineRule="exact"/>
              <w:ind w:left="105" w:leftChars="50" w:right="105" w:rightChars="50"/>
              <w:jc w:val="center"/>
              <w:rPr>
                <w:rFonts w:hint="eastAsia"/>
                <w:b/>
                <w:bCs/>
                <w:szCs w:val="21"/>
              </w:rPr>
            </w:pPr>
            <w:r>
              <w:rPr>
                <w:b/>
                <w:bCs/>
                <w:szCs w:val="21"/>
              </w:rPr>
              <w:t>善</w:t>
            </w:r>
          </w:p>
          <w:p>
            <w:pPr>
              <w:spacing w:line="340" w:lineRule="exact"/>
              <w:ind w:left="105" w:leftChars="50" w:right="105" w:rightChars="50"/>
              <w:jc w:val="center"/>
              <w:rPr>
                <w:szCs w:val="21"/>
              </w:rPr>
            </w:pPr>
            <w:r>
              <w:rPr>
                <w:b/>
                <w:bCs/>
                <w:szCs w:val="21"/>
              </w:rPr>
              <w:t>类</w:t>
            </w:r>
          </w:p>
        </w:tc>
        <w:tc>
          <w:tcPr>
            <w:tcW w:w="644"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szCs w:val="21"/>
              </w:rPr>
              <w:t>12</w:t>
            </w:r>
          </w:p>
        </w:tc>
        <w:tc>
          <w:tcPr>
            <w:tcW w:w="1512"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szCs w:val="21"/>
              </w:rPr>
              <w:t>加装电梯</w:t>
            </w: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加装电梯前应进行可行性评估</w:t>
            </w:r>
          </w:p>
        </w:tc>
        <w:tc>
          <w:tcPr>
            <w:tcW w:w="6495"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《民用建筑设计统一标准》(GB50352-2019)</w:t>
            </w:r>
          </w:p>
          <w:p>
            <w:pPr>
              <w:spacing w:line="340" w:lineRule="exact"/>
              <w:ind w:left="105" w:leftChars="50" w:right="105" w:rightChars="50"/>
              <w:rPr>
                <w:szCs w:val="21"/>
              </w:rPr>
            </w:pPr>
            <w:r>
              <w:rPr>
                <w:szCs w:val="21"/>
              </w:rPr>
              <w:t>《电梯制造与安装安全规范》GB7588-2016</w:t>
            </w:r>
          </w:p>
          <w:p>
            <w:pPr>
              <w:spacing w:line="340" w:lineRule="exact"/>
              <w:ind w:left="105" w:leftChars="50" w:right="105" w:rightChars="50"/>
              <w:rPr>
                <w:szCs w:val="21"/>
              </w:rPr>
            </w:pPr>
            <w:r>
              <w:rPr>
                <w:szCs w:val="21"/>
              </w:rPr>
              <w:t>《既有住宅加装电梯工程技术标准》T/ASC03-2019</w:t>
            </w:r>
          </w:p>
        </w:tc>
      </w:tr>
      <w:tr>
        <w:tblPrEx>
          <w:tblCellMar>
            <w:top w:w="0" w:type="dxa"/>
            <w:left w:w="0" w:type="dxa"/>
            <w:bottom w:w="0" w:type="dxa"/>
            <w:right w:w="0" w:type="dxa"/>
          </w:tblCellMar>
        </w:tblPrEx>
        <w:trPr>
          <w:wBefore w:w="0" w:type="dxa"/>
          <w:wAfter w:w="0" w:type="dxa"/>
          <w:trHeight w:val="38"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644"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1512"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电梯加装方案应避免对住户的影响</w:t>
            </w:r>
          </w:p>
        </w:tc>
        <w:tc>
          <w:tcPr>
            <w:tcW w:w="6495"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r>
      <w:tr>
        <w:tblPrEx>
          <w:tblCellMar>
            <w:top w:w="0" w:type="dxa"/>
            <w:left w:w="0" w:type="dxa"/>
            <w:bottom w:w="0" w:type="dxa"/>
            <w:right w:w="0" w:type="dxa"/>
          </w:tblCellMar>
        </w:tblPrEx>
        <w:trPr>
          <w:wBefore w:w="0" w:type="dxa"/>
          <w:wAfter w:w="0" w:type="dxa"/>
          <w:trHeight w:val="38"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644"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1512"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选用对原结构影响小的结构形式</w:t>
            </w:r>
          </w:p>
        </w:tc>
        <w:tc>
          <w:tcPr>
            <w:tcW w:w="6495"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r>
      <w:tr>
        <w:tblPrEx>
          <w:tblCellMar>
            <w:top w:w="0" w:type="dxa"/>
            <w:left w:w="0" w:type="dxa"/>
            <w:bottom w:w="0" w:type="dxa"/>
            <w:right w:w="0" w:type="dxa"/>
          </w:tblCellMar>
        </w:tblPrEx>
        <w:trPr>
          <w:wBefore w:w="0" w:type="dxa"/>
          <w:wAfter w:w="0" w:type="dxa"/>
          <w:trHeight w:val="278"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644"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1512"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280" w:lineRule="exact"/>
              <w:ind w:left="105" w:leftChars="50" w:right="105" w:rightChars="50"/>
              <w:rPr>
                <w:szCs w:val="21"/>
              </w:rPr>
            </w:pPr>
            <w:r>
              <w:rPr>
                <w:szCs w:val="21"/>
              </w:rPr>
              <w:t xml:space="preserve">考虑与相邻住户的安全防盗以及居室空间的私密性，严禁占用消防车道 </w:t>
            </w:r>
          </w:p>
        </w:tc>
        <w:tc>
          <w:tcPr>
            <w:tcW w:w="6495"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r>
      <w:tr>
        <w:tblPrEx>
          <w:tblCellMar>
            <w:top w:w="0" w:type="dxa"/>
            <w:left w:w="0" w:type="dxa"/>
            <w:bottom w:w="0" w:type="dxa"/>
            <w:right w:w="0" w:type="dxa"/>
          </w:tblCellMar>
        </w:tblPrEx>
        <w:trPr>
          <w:wBefore w:w="0" w:type="dxa"/>
          <w:wAfter w:w="0" w:type="dxa"/>
          <w:trHeight w:val="38"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644"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szCs w:val="21"/>
              </w:rPr>
              <w:t>13</w:t>
            </w:r>
          </w:p>
        </w:tc>
        <w:tc>
          <w:tcPr>
            <w:tcW w:w="1512"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szCs w:val="21"/>
              </w:rPr>
              <w:t>风貌管控</w:t>
            </w: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对环境景观风貌进行综合改造和提升设计</w:t>
            </w:r>
          </w:p>
        </w:tc>
        <w:tc>
          <w:tcPr>
            <w:tcW w:w="6495"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《老旧小区有机更新改造技术导则》（2016年10月）</w:t>
            </w:r>
          </w:p>
          <w:p>
            <w:pPr>
              <w:spacing w:line="340" w:lineRule="exact"/>
              <w:ind w:left="105" w:leftChars="50" w:right="105" w:rightChars="50"/>
              <w:rPr>
                <w:szCs w:val="21"/>
              </w:rPr>
            </w:pPr>
            <w:r>
              <w:rPr>
                <w:szCs w:val="21"/>
              </w:rPr>
              <w:t>《城市旧居住区综合改造技术标准》TCSUS04-2019</w:t>
            </w:r>
          </w:p>
          <w:p>
            <w:pPr>
              <w:spacing w:line="340" w:lineRule="exact"/>
              <w:ind w:left="105" w:leftChars="50" w:right="105" w:rightChars="50"/>
              <w:rPr>
                <w:szCs w:val="21"/>
              </w:rPr>
            </w:pPr>
            <w:r>
              <w:rPr>
                <w:szCs w:val="21"/>
              </w:rPr>
              <w:t>《陕西省城市设计标准》DBJ  61/T 128-2018</w:t>
            </w:r>
          </w:p>
          <w:p>
            <w:pPr>
              <w:spacing w:line="340" w:lineRule="exact"/>
              <w:ind w:left="105" w:leftChars="50" w:right="105" w:rightChars="50"/>
              <w:rPr>
                <w:szCs w:val="21"/>
              </w:rPr>
            </w:pPr>
            <w:r>
              <w:rPr>
                <w:szCs w:val="21"/>
              </w:rPr>
              <w:t>《陕西省城乡风貌特色研究》（2016年）</w:t>
            </w:r>
          </w:p>
        </w:tc>
      </w:tr>
      <w:tr>
        <w:tblPrEx>
          <w:tblCellMar>
            <w:top w:w="0" w:type="dxa"/>
            <w:left w:w="0" w:type="dxa"/>
            <w:bottom w:w="0" w:type="dxa"/>
            <w:right w:w="0" w:type="dxa"/>
          </w:tblCellMar>
        </w:tblPrEx>
        <w:trPr>
          <w:wBefore w:w="0" w:type="dxa"/>
          <w:wAfter w:w="0" w:type="dxa"/>
          <w:trHeight w:val="42"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644"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1512"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整体色彩与色调应与小区周边环境和城市整体风貌相协调</w:t>
            </w:r>
          </w:p>
        </w:tc>
        <w:tc>
          <w:tcPr>
            <w:tcW w:w="6495"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r>
      <w:tr>
        <w:tblPrEx>
          <w:tblCellMar>
            <w:top w:w="0" w:type="dxa"/>
            <w:left w:w="0" w:type="dxa"/>
            <w:bottom w:w="0" w:type="dxa"/>
            <w:right w:w="0" w:type="dxa"/>
          </w:tblCellMar>
        </w:tblPrEx>
        <w:trPr>
          <w:wBefore w:w="0" w:type="dxa"/>
          <w:wAfter w:w="0" w:type="dxa"/>
          <w:trHeight w:val="38"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644"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1512"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提升老旧小区入口形象</w:t>
            </w:r>
          </w:p>
        </w:tc>
        <w:tc>
          <w:tcPr>
            <w:tcW w:w="6495"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r>
      <w:tr>
        <w:tblPrEx>
          <w:tblCellMar>
            <w:top w:w="0" w:type="dxa"/>
            <w:left w:w="0" w:type="dxa"/>
            <w:bottom w:w="0" w:type="dxa"/>
            <w:right w:w="0" w:type="dxa"/>
          </w:tblCellMar>
        </w:tblPrEx>
        <w:trPr>
          <w:wBefore w:w="0" w:type="dxa"/>
          <w:wAfter w:w="0" w:type="dxa"/>
          <w:trHeight w:val="38"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644"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1512"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老旧小区围墙修缮</w:t>
            </w:r>
          </w:p>
        </w:tc>
        <w:tc>
          <w:tcPr>
            <w:tcW w:w="6495"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r>
      <w:tr>
        <w:tblPrEx>
          <w:tblCellMar>
            <w:top w:w="0" w:type="dxa"/>
            <w:left w:w="0" w:type="dxa"/>
            <w:bottom w:w="0" w:type="dxa"/>
            <w:right w:w="0" w:type="dxa"/>
          </w:tblCellMar>
        </w:tblPrEx>
        <w:trPr>
          <w:wBefore w:w="0" w:type="dxa"/>
          <w:wAfter w:w="0" w:type="dxa"/>
          <w:trHeight w:val="42" w:hRule="atLeast"/>
          <w:jc w:val="center"/>
        </w:trPr>
        <w:tc>
          <w:tcPr>
            <w:tcW w:w="540"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rFonts w:hint="eastAsia"/>
                <w:b/>
                <w:bCs/>
                <w:szCs w:val="21"/>
              </w:rPr>
            </w:pPr>
            <w:r>
              <w:rPr>
                <w:b/>
                <w:bCs/>
                <w:szCs w:val="21"/>
              </w:rPr>
              <w:t>提</w:t>
            </w:r>
          </w:p>
          <w:p>
            <w:pPr>
              <w:spacing w:line="340" w:lineRule="exact"/>
              <w:ind w:left="105" w:leftChars="50" w:right="105" w:rightChars="50"/>
              <w:jc w:val="center"/>
              <w:rPr>
                <w:rFonts w:hint="eastAsia"/>
                <w:b/>
                <w:bCs/>
                <w:szCs w:val="21"/>
              </w:rPr>
            </w:pPr>
            <w:r>
              <w:rPr>
                <w:b/>
                <w:bCs/>
                <w:szCs w:val="21"/>
              </w:rPr>
              <w:t>升</w:t>
            </w:r>
          </w:p>
          <w:p>
            <w:pPr>
              <w:spacing w:line="340" w:lineRule="exact"/>
              <w:ind w:left="105" w:leftChars="50" w:right="105" w:rightChars="50"/>
              <w:jc w:val="center"/>
              <w:rPr>
                <w:szCs w:val="21"/>
              </w:rPr>
            </w:pPr>
            <w:r>
              <w:rPr>
                <w:b/>
                <w:bCs/>
                <w:szCs w:val="21"/>
              </w:rPr>
              <w:t>类</w:t>
            </w:r>
          </w:p>
        </w:tc>
        <w:tc>
          <w:tcPr>
            <w:tcW w:w="644"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szCs w:val="21"/>
              </w:rPr>
              <w:t>1</w:t>
            </w:r>
          </w:p>
        </w:tc>
        <w:tc>
          <w:tcPr>
            <w:tcW w:w="1512"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szCs w:val="21"/>
              </w:rPr>
              <w:t>社区综合服务设施</w:t>
            </w: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改建、扩建或新建社区党群服务中心（站）</w:t>
            </w:r>
          </w:p>
        </w:tc>
        <w:tc>
          <w:tcPr>
            <w:tcW w:w="6495"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《城市居住区规划设计标准》GB50180-2018</w:t>
            </w:r>
          </w:p>
        </w:tc>
      </w:tr>
      <w:tr>
        <w:tblPrEx>
          <w:tblCellMar>
            <w:top w:w="0" w:type="dxa"/>
            <w:left w:w="0" w:type="dxa"/>
            <w:bottom w:w="0" w:type="dxa"/>
            <w:right w:w="0" w:type="dxa"/>
          </w:tblCellMar>
        </w:tblPrEx>
        <w:trPr>
          <w:wBefore w:w="0" w:type="dxa"/>
          <w:wAfter w:w="0" w:type="dxa"/>
          <w:trHeight w:val="132"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644"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1512"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因地制宜建设社区服务用房（站）</w:t>
            </w:r>
          </w:p>
        </w:tc>
        <w:tc>
          <w:tcPr>
            <w:tcW w:w="6495"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《城市社区服务站建设标准》建标 167-2014</w:t>
            </w:r>
          </w:p>
          <w:p>
            <w:pPr>
              <w:spacing w:line="340" w:lineRule="exact"/>
              <w:ind w:left="105" w:leftChars="50" w:right="105" w:rightChars="50"/>
              <w:rPr>
                <w:szCs w:val="21"/>
              </w:rPr>
            </w:pPr>
            <w:r>
              <w:rPr>
                <w:szCs w:val="21"/>
              </w:rPr>
              <w:t xml:space="preserve">《城乡社区网格化服务管理规范》 GB/T34300-2017 </w:t>
            </w:r>
          </w:p>
        </w:tc>
      </w:tr>
      <w:tr>
        <w:tblPrEx>
          <w:tblCellMar>
            <w:top w:w="0" w:type="dxa"/>
            <w:left w:w="0" w:type="dxa"/>
            <w:bottom w:w="0" w:type="dxa"/>
            <w:right w:w="0" w:type="dxa"/>
          </w:tblCellMar>
        </w:tblPrEx>
        <w:trPr>
          <w:wBefore w:w="0" w:type="dxa"/>
          <w:wAfter w:w="0" w:type="dxa"/>
          <w:trHeight w:val="38"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644"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szCs w:val="21"/>
              </w:rPr>
              <w:t>2</w:t>
            </w:r>
          </w:p>
        </w:tc>
        <w:tc>
          <w:tcPr>
            <w:tcW w:w="1512"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szCs w:val="21"/>
              </w:rPr>
              <w:t>公共卫生设施</w:t>
            </w: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健全医疗卫生设施，补齐卫生防疫短板</w:t>
            </w:r>
          </w:p>
        </w:tc>
        <w:tc>
          <w:tcPr>
            <w:tcW w:w="6495"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《社区卫生服务中心、站建设标准》建标 163-2013</w:t>
            </w:r>
          </w:p>
          <w:p>
            <w:pPr>
              <w:spacing w:line="340" w:lineRule="exact"/>
              <w:ind w:left="105" w:leftChars="50" w:right="105" w:rightChars="50"/>
              <w:rPr>
                <w:szCs w:val="21"/>
              </w:rPr>
            </w:pPr>
            <w:r>
              <w:rPr>
                <w:szCs w:val="21"/>
              </w:rPr>
              <w:t>《关于促进“互联网+医疗健康”发展的意见》</w:t>
            </w:r>
          </w:p>
        </w:tc>
      </w:tr>
      <w:tr>
        <w:tblPrEx>
          <w:tblCellMar>
            <w:top w:w="0" w:type="dxa"/>
            <w:left w:w="0" w:type="dxa"/>
            <w:bottom w:w="0" w:type="dxa"/>
            <w:right w:w="0" w:type="dxa"/>
          </w:tblCellMar>
        </w:tblPrEx>
        <w:trPr>
          <w:wBefore w:w="0" w:type="dxa"/>
          <w:wAfter w:w="0" w:type="dxa"/>
          <w:trHeight w:val="38"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644"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1512"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鼓励发展社区“互联网+医疗健康”模式</w:t>
            </w:r>
          </w:p>
        </w:tc>
        <w:tc>
          <w:tcPr>
            <w:tcW w:w="6495"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r>
      <w:tr>
        <w:tblPrEx>
          <w:tblCellMar>
            <w:top w:w="0" w:type="dxa"/>
            <w:left w:w="0" w:type="dxa"/>
            <w:bottom w:w="0" w:type="dxa"/>
            <w:right w:w="0" w:type="dxa"/>
          </w:tblCellMar>
        </w:tblPrEx>
        <w:trPr>
          <w:wBefore w:w="0" w:type="dxa"/>
          <w:wAfter w:w="0" w:type="dxa"/>
          <w:trHeight w:val="150"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644"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szCs w:val="21"/>
              </w:rPr>
              <w:t>3</w:t>
            </w:r>
          </w:p>
        </w:tc>
        <w:tc>
          <w:tcPr>
            <w:tcW w:w="1512"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szCs w:val="21"/>
              </w:rPr>
              <w:t>教育设施</w:t>
            </w: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健全幼儿园等教育设施，补齐教育短板</w:t>
            </w:r>
          </w:p>
        </w:tc>
        <w:tc>
          <w:tcPr>
            <w:tcW w:w="6495"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 xml:space="preserve"> 《城市居住区规划设计标准》GB50180-2018</w:t>
            </w:r>
          </w:p>
          <w:p>
            <w:pPr>
              <w:spacing w:line="340" w:lineRule="exact"/>
              <w:ind w:left="105" w:leftChars="50" w:right="105" w:rightChars="50"/>
              <w:rPr>
                <w:szCs w:val="21"/>
              </w:rPr>
            </w:pPr>
            <w:r>
              <w:rPr>
                <w:szCs w:val="21"/>
              </w:rPr>
              <w:t>《托儿所、幼儿园建筑设计规范》JGJ39-2016</w:t>
            </w:r>
          </w:p>
        </w:tc>
      </w:tr>
      <w:tr>
        <w:tblPrEx>
          <w:tblCellMar>
            <w:top w:w="0" w:type="dxa"/>
            <w:left w:w="0" w:type="dxa"/>
            <w:bottom w:w="0" w:type="dxa"/>
            <w:right w:w="0" w:type="dxa"/>
          </w:tblCellMar>
        </w:tblPrEx>
        <w:trPr>
          <w:wBefore w:w="0" w:type="dxa"/>
          <w:wAfter w:w="0" w:type="dxa"/>
          <w:trHeight w:val="385"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jc w:val="center"/>
              <w:rPr>
                <w:szCs w:val="21"/>
              </w:rPr>
            </w:pPr>
          </w:p>
        </w:tc>
        <w:tc>
          <w:tcPr>
            <w:tcW w:w="644"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szCs w:val="21"/>
              </w:rPr>
              <w:t>4</w:t>
            </w:r>
          </w:p>
        </w:tc>
        <w:tc>
          <w:tcPr>
            <w:tcW w:w="1512"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jc w:val="center"/>
              <w:rPr>
                <w:szCs w:val="21"/>
              </w:rPr>
            </w:pPr>
            <w:r>
              <w:rPr>
                <w:szCs w:val="21"/>
              </w:rPr>
              <w:t>智能感知设施</w:t>
            </w: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实行出入口管理</w:t>
            </w:r>
          </w:p>
        </w:tc>
        <w:tc>
          <w:tcPr>
            <w:tcW w:w="6495"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《居民住宅小区安全防范系统工程技术规范》2016版</w:t>
            </w:r>
          </w:p>
          <w:p>
            <w:pPr>
              <w:spacing w:line="340" w:lineRule="exact"/>
              <w:ind w:left="105" w:leftChars="50" w:right="105" w:rightChars="50"/>
              <w:rPr>
                <w:szCs w:val="21"/>
              </w:rPr>
            </w:pPr>
            <w:r>
              <w:rPr>
                <w:szCs w:val="21"/>
              </w:rPr>
              <w:t>《城市居住区规划设计标准》(GB 50180-2018)</w:t>
            </w:r>
          </w:p>
          <w:p>
            <w:pPr>
              <w:spacing w:line="340" w:lineRule="exact"/>
              <w:ind w:left="105" w:leftChars="50" w:right="105" w:rightChars="50"/>
              <w:rPr>
                <w:szCs w:val="21"/>
              </w:rPr>
            </w:pPr>
            <w:r>
              <w:rPr>
                <w:szCs w:val="21"/>
              </w:rPr>
              <w:t>《出入口控制系统技术要求》GA/T394-2002</w:t>
            </w:r>
          </w:p>
        </w:tc>
      </w:tr>
      <w:tr>
        <w:tblPrEx>
          <w:tblCellMar>
            <w:top w:w="0" w:type="dxa"/>
            <w:left w:w="0" w:type="dxa"/>
            <w:bottom w:w="0" w:type="dxa"/>
            <w:right w:w="0" w:type="dxa"/>
          </w:tblCellMar>
        </w:tblPrEx>
        <w:trPr>
          <w:wBefore w:w="0" w:type="dxa"/>
          <w:wAfter w:w="0" w:type="dxa"/>
          <w:trHeight w:val="484"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c>
          <w:tcPr>
            <w:tcW w:w="644"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c>
          <w:tcPr>
            <w:tcW w:w="1512"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普及安全监控</w:t>
            </w:r>
          </w:p>
        </w:tc>
        <w:tc>
          <w:tcPr>
            <w:tcW w:w="6495" w:type="dxa"/>
            <w:vMerge w:val="restart"/>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《特种设备安全监察条例》（2009年修订）</w:t>
            </w:r>
          </w:p>
          <w:p>
            <w:pPr>
              <w:spacing w:line="340" w:lineRule="exact"/>
              <w:ind w:left="105" w:leftChars="50" w:right="105" w:rightChars="50"/>
              <w:rPr>
                <w:szCs w:val="21"/>
              </w:rPr>
            </w:pPr>
            <w:r>
              <w:rPr>
                <w:szCs w:val="21"/>
              </w:rPr>
              <w:t>《入侵报警系统工程设计规范》GB 50394-2007</w:t>
            </w:r>
          </w:p>
          <w:p>
            <w:pPr>
              <w:spacing w:line="340" w:lineRule="exact"/>
              <w:ind w:left="105" w:leftChars="50" w:right="105" w:rightChars="50"/>
              <w:rPr>
                <w:szCs w:val="21"/>
              </w:rPr>
            </w:pPr>
            <w:r>
              <w:rPr>
                <w:szCs w:val="21"/>
              </w:rPr>
              <w:t>《视频安防监控系统工程设计规范》GB 50395-2007</w:t>
            </w:r>
          </w:p>
          <w:p>
            <w:pPr>
              <w:spacing w:line="340" w:lineRule="exact"/>
              <w:ind w:left="105" w:leftChars="50" w:right="105" w:rightChars="50"/>
              <w:rPr>
                <w:szCs w:val="21"/>
              </w:rPr>
            </w:pPr>
            <w:r>
              <w:rPr>
                <w:rFonts w:hint="eastAsia"/>
                <w:szCs w:val="21"/>
              </w:rPr>
              <w:t>《</w:t>
            </w:r>
            <w:r>
              <w:rPr>
                <w:szCs w:val="21"/>
              </w:rPr>
              <w:t>智慧社区建设指南)) (试行)</w:t>
            </w:r>
          </w:p>
        </w:tc>
      </w:tr>
      <w:tr>
        <w:tblPrEx>
          <w:tblCellMar>
            <w:top w:w="0" w:type="dxa"/>
            <w:left w:w="0" w:type="dxa"/>
            <w:bottom w:w="0" w:type="dxa"/>
            <w:right w:w="0" w:type="dxa"/>
          </w:tblCellMar>
        </w:tblPrEx>
        <w:trPr>
          <w:wBefore w:w="0" w:type="dxa"/>
          <w:wAfter w:w="0" w:type="dxa"/>
          <w:trHeight w:val="148" w:hRule="atLeast"/>
          <w:jc w:val="center"/>
        </w:trPr>
        <w:tc>
          <w:tcPr>
            <w:tcW w:w="540"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c>
          <w:tcPr>
            <w:tcW w:w="644"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c>
          <w:tcPr>
            <w:tcW w:w="1512"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c>
          <w:tcPr>
            <w:tcW w:w="5991" w:type="dxa"/>
            <w:tcBorders>
              <w:top w:val="single" w:color="000000" w:sz="8" w:space="0"/>
              <w:left w:val="single" w:color="000000" w:sz="8" w:space="0"/>
              <w:bottom w:val="single" w:color="000000" w:sz="8" w:space="0"/>
              <w:right w:val="single" w:color="000000" w:sz="8" w:space="0"/>
            </w:tcBorders>
            <w:noWrap w:val="0"/>
            <w:tcMar>
              <w:top w:w="15" w:type="dxa"/>
              <w:left w:w="15" w:type="dxa"/>
              <w:bottom w:w="15" w:type="dxa"/>
              <w:right w:w="15" w:type="dxa"/>
            </w:tcMar>
            <w:vAlign w:val="center"/>
          </w:tcPr>
          <w:p>
            <w:pPr>
              <w:spacing w:line="340" w:lineRule="exact"/>
              <w:ind w:left="105" w:leftChars="50" w:right="105" w:rightChars="50"/>
              <w:rPr>
                <w:szCs w:val="21"/>
              </w:rPr>
            </w:pPr>
            <w:r>
              <w:rPr>
                <w:szCs w:val="21"/>
              </w:rPr>
              <w:t>完善楼宇防盗</w:t>
            </w:r>
          </w:p>
        </w:tc>
        <w:tc>
          <w:tcPr>
            <w:tcW w:w="6495" w:type="dxa"/>
            <w:vMerge w:val="continue"/>
            <w:tcBorders>
              <w:top w:val="single" w:color="000000" w:sz="8" w:space="0"/>
              <w:left w:val="single" w:color="000000" w:sz="8" w:space="0"/>
              <w:bottom w:val="single" w:color="000000" w:sz="8" w:space="0"/>
              <w:right w:val="single" w:color="000000" w:sz="8" w:space="0"/>
            </w:tcBorders>
            <w:noWrap w:val="0"/>
            <w:vAlign w:val="center"/>
          </w:tcPr>
          <w:p>
            <w:pPr>
              <w:spacing w:line="340" w:lineRule="exact"/>
              <w:ind w:left="105" w:leftChars="50" w:right="105" w:rightChars="50"/>
              <w:rPr>
                <w:szCs w:val="21"/>
              </w:rPr>
            </w:pPr>
          </w:p>
        </w:tc>
      </w:tr>
    </w:tbl>
    <w:p>
      <w:pPr>
        <w:pStyle w:val="9"/>
        <w:spacing w:before="0" w:beforeAutospacing="0" w:after="0" w:afterAutospacing="0" w:line="560" w:lineRule="exact"/>
        <w:jc w:val="center"/>
        <w:rPr>
          <w:rFonts w:ascii="方正小标宋简体" w:hAnsi="方正小标宋简体" w:eastAsia="方正小标宋简体" w:cs="方正小标宋简体"/>
          <w:color w:val="000000"/>
          <w:sz w:val="44"/>
          <w:szCs w:val="44"/>
          <w:lang w:bidi="ar"/>
        </w:rPr>
        <w:sectPr>
          <w:pgSz w:w="16838" w:h="11906" w:orient="landscape"/>
          <w:pgMar w:top="1474" w:right="1440" w:bottom="1474" w:left="1440" w:header="851" w:footer="992" w:gutter="0"/>
          <w:pgNumType w:fmt="numberInDash"/>
          <w:cols w:space="720" w:num="1"/>
          <w:docGrid w:type="lines" w:linePitch="312" w:charSpace="0"/>
        </w:sectPr>
      </w:pPr>
    </w:p>
    <w:tbl>
      <w:tblPr>
        <w:tblStyle w:val="11"/>
        <w:tblW w:w="15241" w:type="dxa"/>
        <w:jc w:val="center"/>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480"/>
        <w:gridCol w:w="660"/>
        <w:gridCol w:w="1880"/>
        <w:gridCol w:w="5162"/>
        <w:gridCol w:w="7059"/>
      </w:tblGrid>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wBefore w:w="0" w:type="dxa"/>
          <w:wAfter w:w="0" w:type="dxa"/>
          <w:trHeight w:val="389" w:hRule="atLeast"/>
          <w:jc w:val="center"/>
        </w:trPr>
        <w:tc>
          <w:tcPr>
            <w:tcW w:w="3020" w:type="dxa"/>
            <w:gridSpan w:val="3"/>
            <w:noWrap w:val="0"/>
            <w:tcMar>
              <w:top w:w="15" w:type="dxa"/>
              <w:left w:w="15" w:type="dxa"/>
              <w:bottom w:w="15" w:type="dxa"/>
              <w:right w:w="15" w:type="dxa"/>
            </w:tcMar>
            <w:vAlign w:val="center"/>
          </w:tcPr>
          <w:p>
            <w:pPr>
              <w:widowControl/>
              <w:spacing w:line="340" w:lineRule="exact"/>
              <w:ind w:left="105" w:leftChars="50" w:right="105" w:rightChars="50"/>
              <w:jc w:val="center"/>
              <w:rPr>
                <w:rFonts w:ascii="Arial" w:hAnsi="Arial" w:cs="Arial"/>
                <w:color w:val="000000"/>
                <w:kern w:val="0"/>
                <w:szCs w:val="21"/>
              </w:rPr>
            </w:pPr>
            <w:r>
              <w:rPr>
                <w:rFonts w:hAnsi="Arial" w:cs="Arial"/>
                <w:b/>
                <w:bCs/>
                <w:color w:val="000000"/>
                <w:kern w:val="24"/>
                <w:szCs w:val="21"/>
              </w:rPr>
              <w:t>改造内容</w:t>
            </w:r>
          </w:p>
        </w:tc>
        <w:tc>
          <w:tcPr>
            <w:tcW w:w="5162" w:type="dxa"/>
            <w:noWrap w:val="0"/>
            <w:tcMar>
              <w:top w:w="15" w:type="dxa"/>
              <w:left w:w="15" w:type="dxa"/>
              <w:bottom w:w="15" w:type="dxa"/>
              <w:right w:w="15" w:type="dxa"/>
            </w:tcMar>
            <w:vAlign w:val="center"/>
          </w:tcPr>
          <w:p>
            <w:pPr>
              <w:widowControl/>
              <w:spacing w:line="340" w:lineRule="exact"/>
              <w:ind w:left="105" w:leftChars="50" w:right="105" w:rightChars="50"/>
              <w:jc w:val="center"/>
              <w:rPr>
                <w:rFonts w:ascii="Arial" w:hAnsi="Arial" w:cs="Arial"/>
                <w:color w:val="000000"/>
                <w:kern w:val="0"/>
                <w:szCs w:val="21"/>
              </w:rPr>
            </w:pPr>
            <w:r>
              <w:rPr>
                <w:rFonts w:hAnsi="Arial" w:cs="Arial"/>
                <w:b/>
                <w:bCs/>
                <w:color w:val="000000"/>
                <w:kern w:val="24"/>
                <w:szCs w:val="21"/>
              </w:rPr>
              <w:t>改造要求</w:t>
            </w:r>
          </w:p>
        </w:tc>
        <w:tc>
          <w:tcPr>
            <w:tcW w:w="7059" w:type="dxa"/>
            <w:noWrap w:val="0"/>
            <w:tcMar>
              <w:top w:w="15" w:type="dxa"/>
              <w:left w:w="15" w:type="dxa"/>
              <w:bottom w:w="15" w:type="dxa"/>
              <w:right w:w="15" w:type="dxa"/>
            </w:tcMar>
            <w:vAlign w:val="center"/>
          </w:tcPr>
          <w:p>
            <w:pPr>
              <w:widowControl/>
              <w:spacing w:line="340" w:lineRule="exact"/>
              <w:ind w:left="105" w:leftChars="50" w:right="105" w:rightChars="50"/>
              <w:jc w:val="center"/>
              <w:rPr>
                <w:rFonts w:ascii="Arial" w:hAnsi="Arial" w:cs="Arial"/>
                <w:color w:val="000000"/>
                <w:kern w:val="0"/>
                <w:szCs w:val="21"/>
              </w:rPr>
            </w:pPr>
            <w:r>
              <w:rPr>
                <w:rFonts w:hAnsi="Arial" w:cs="Arial"/>
                <w:b/>
                <w:bCs/>
                <w:color w:val="000000"/>
                <w:kern w:val="24"/>
                <w:szCs w:val="21"/>
              </w:rPr>
              <w:t>改造标准</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wBefore w:w="0" w:type="dxa"/>
          <w:wAfter w:w="0" w:type="dxa"/>
          <w:trHeight w:val="1369" w:hRule="atLeast"/>
          <w:jc w:val="center"/>
        </w:trPr>
        <w:tc>
          <w:tcPr>
            <w:tcW w:w="480" w:type="dxa"/>
            <w:vMerge w:val="restart"/>
            <w:noWrap w:val="0"/>
            <w:tcMar>
              <w:top w:w="15" w:type="dxa"/>
              <w:left w:w="15" w:type="dxa"/>
              <w:bottom w:w="15" w:type="dxa"/>
              <w:right w:w="15" w:type="dxa"/>
            </w:tcMar>
            <w:vAlign w:val="center"/>
          </w:tcPr>
          <w:p>
            <w:pPr>
              <w:widowControl/>
              <w:spacing w:line="340" w:lineRule="exact"/>
              <w:ind w:left="105" w:leftChars="50" w:right="105" w:rightChars="50"/>
              <w:jc w:val="center"/>
              <w:rPr>
                <w:rFonts w:ascii="Arial" w:hAnsi="Arial" w:cs="Arial"/>
                <w:color w:val="000000"/>
                <w:kern w:val="0"/>
                <w:szCs w:val="21"/>
              </w:rPr>
            </w:pPr>
            <w:r>
              <w:rPr>
                <w:rFonts w:hAnsi="Arial" w:cs="Arial"/>
                <w:b/>
                <w:bCs/>
                <w:color w:val="000000"/>
                <w:kern w:val="24"/>
                <w:szCs w:val="21"/>
              </w:rPr>
              <w:t>提升类</w:t>
            </w:r>
          </w:p>
        </w:tc>
        <w:tc>
          <w:tcPr>
            <w:tcW w:w="660" w:type="dxa"/>
            <w:vMerge w:val="restart"/>
            <w:noWrap w:val="0"/>
            <w:tcMar>
              <w:top w:w="15" w:type="dxa"/>
              <w:left w:w="15" w:type="dxa"/>
              <w:bottom w:w="15" w:type="dxa"/>
              <w:right w:w="15" w:type="dxa"/>
            </w:tcMar>
            <w:vAlign w:val="center"/>
          </w:tcPr>
          <w:p>
            <w:pPr>
              <w:widowControl/>
              <w:spacing w:line="340" w:lineRule="exact"/>
              <w:ind w:left="105" w:leftChars="50" w:right="105" w:rightChars="50"/>
              <w:jc w:val="center"/>
              <w:rPr>
                <w:rFonts w:ascii="Arial" w:hAnsi="Arial" w:cs="Arial"/>
                <w:color w:val="000000"/>
                <w:kern w:val="0"/>
                <w:szCs w:val="21"/>
              </w:rPr>
            </w:pPr>
            <w:r>
              <w:rPr>
                <w:rFonts w:cs="Arial"/>
                <w:color w:val="000000"/>
                <w:kern w:val="24"/>
                <w:szCs w:val="21"/>
              </w:rPr>
              <w:t>5</w:t>
            </w:r>
          </w:p>
        </w:tc>
        <w:tc>
          <w:tcPr>
            <w:tcW w:w="1880" w:type="dxa"/>
            <w:vMerge w:val="restart"/>
            <w:noWrap w:val="0"/>
            <w:tcMar>
              <w:top w:w="15" w:type="dxa"/>
              <w:left w:w="15" w:type="dxa"/>
              <w:bottom w:w="15" w:type="dxa"/>
              <w:right w:w="15" w:type="dxa"/>
            </w:tcMar>
            <w:vAlign w:val="center"/>
          </w:tcPr>
          <w:p>
            <w:pPr>
              <w:widowControl/>
              <w:spacing w:line="340" w:lineRule="exact"/>
              <w:ind w:left="105" w:leftChars="50" w:right="105" w:rightChars="50"/>
              <w:jc w:val="center"/>
              <w:rPr>
                <w:rFonts w:hint="eastAsia" w:hAnsi="Arial" w:cs="Arial"/>
                <w:color w:val="000000"/>
                <w:kern w:val="24"/>
                <w:szCs w:val="21"/>
              </w:rPr>
            </w:pPr>
            <w:r>
              <w:rPr>
                <w:rFonts w:hAnsi="Arial" w:cs="Arial"/>
                <w:color w:val="000000"/>
                <w:kern w:val="24"/>
                <w:szCs w:val="21"/>
              </w:rPr>
              <w:t>社区专项服务</w:t>
            </w:r>
          </w:p>
          <w:p>
            <w:pPr>
              <w:widowControl/>
              <w:spacing w:line="340" w:lineRule="exact"/>
              <w:ind w:left="105" w:leftChars="50" w:right="105" w:rightChars="50"/>
              <w:jc w:val="center"/>
              <w:rPr>
                <w:rFonts w:ascii="Arial" w:hAnsi="Arial" w:cs="Arial"/>
                <w:color w:val="000000"/>
                <w:kern w:val="0"/>
                <w:szCs w:val="21"/>
              </w:rPr>
            </w:pPr>
            <w:r>
              <w:rPr>
                <w:rFonts w:hAnsi="Arial" w:cs="Arial"/>
                <w:color w:val="000000"/>
                <w:kern w:val="24"/>
                <w:szCs w:val="21"/>
              </w:rPr>
              <w:t>设施</w:t>
            </w:r>
          </w:p>
        </w:tc>
        <w:tc>
          <w:tcPr>
            <w:tcW w:w="5162" w:type="dxa"/>
            <w:noWrap w:val="0"/>
            <w:tcMar>
              <w:top w:w="15" w:type="dxa"/>
              <w:left w:w="15" w:type="dxa"/>
              <w:bottom w:w="15" w:type="dxa"/>
              <w:right w:w="15" w:type="dxa"/>
            </w:tcMar>
            <w:vAlign w:val="center"/>
          </w:tcPr>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健全养老服务设施</w:t>
            </w:r>
          </w:p>
        </w:tc>
        <w:tc>
          <w:tcPr>
            <w:tcW w:w="7059" w:type="dxa"/>
            <w:noWrap w:val="0"/>
            <w:tcMar>
              <w:top w:w="15" w:type="dxa"/>
              <w:left w:w="15" w:type="dxa"/>
              <w:bottom w:w="15" w:type="dxa"/>
              <w:right w:w="15" w:type="dxa"/>
            </w:tcMar>
            <w:vAlign w:val="center"/>
          </w:tcPr>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《老年人照料设施建筑设计标准》JGJ450-2018</w:t>
            </w:r>
          </w:p>
          <w:p>
            <w:pPr>
              <w:widowControl/>
              <w:spacing w:line="340" w:lineRule="exact"/>
              <w:ind w:left="105" w:leftChars="50" w:right="105" w:rightChars="50"/>
              <w:jc w:val="left"/>
              <w:rPr>
                <w:rFonts w:ascii="Arial" w:hAnsi="Arial" w:cs="Arial"/>
                <w:color w:val="000000"/>
                <w:kern w:val="0"/>
                <w:szCs w:val="21"/>
              </w:rPr>
            </w:pPr>
            <w:r>
              <w:rPr>
                <w:rFonts w:hint="eastAsia" w:ascii="宋体" w:hAnsi="宋体" w:cs="宋体"/>
                <w:color w:val="000000"/>
                <w:kern w:val="24"/>
                <w:szCs w:val="21"/>
              </w:rPr>
              <w:t>《无障碍设计规范》GB50763-2012</w:t>
            </w:r>
          </w:p>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《社区老年人日间照料中心服务基本要求》GB/T33 168-2016</w:t>
            </w:r>
          </w:p>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《社区老年人日间照料中心</w:t>
            </w:r>
            <w:r>
              <w:rPr>
                <w:rFonts w:hint="eastAsia" w:ascii="宋体" w:hAnsi="宋体" w:cs="宋体"/>
                <w:color w:val="000000"/>
                <w:kern w:val="24"/>
                <w:szCs w:val="21"/>
              </w:rPr>
              <w:t>建设标准</w:t>
            </w:r>
            <w:r>
              <w:rPr>
                <w:rFonts w:hAnsi="Arial" w:cs="Arial"/>
                <w:color w:val="000000"/>
                <w:kern w:val="24"/>
                <w:szCs w:val="21"/>
              </w:rPr>
              <w:t>》(建设143-2010)</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wBefore w:w="0" w:type="dxa"/>
          <w:wAfter w:w="0" w:type="dxa"/>
          <w:trHeight w:val="240" w:hRule="atLeast"/>
          <w:jc w:val="center"/>
        </w:trPr>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5162" w:type="dxa"/>
            <w:noWrap w:val="0"/>
            <w:tcMar>
              <w:top w:w="15" w:type="dxa"/>
              <w:left w:w="15" w:type="dxa"/>
              <w:bottom w:w="15" w:type="dxa"/>
              <w:right w:w="15" w:type="dxa"/>
            </w:tcMar>
            <w:vAlign w:val="center"/>
          </w:tcPr>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健全托育设施</w:t>
            </w:r>
          </w:p>
        </w:tc>
        <w:tc>
          <w:tcPr>
            <w:tcW w:w="7059" w:type="dxa"/>
            <w:vMerge w:val="restart"/>
            <w:noWrap w:val="0"/>
            <w:tcMar>
              <w:top w:w="15" w:type="dxa"/>
              <w:left w:w="15" w:type="dxa"/>
              <w:bottom w:w="15" w:type="dxa"/>
              <w:right w:w="15" w:type="dxa"/>
            </w:tcMar>
            <w:vAlign w:val="center"/>
          </w:tcPr>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《城市居住区规划设计标准》GB50180-2018</w:t>
            </w:r>
          </w:p>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《托儿所、幼儿园建筑设计规范》JGJ 39-2016</w:t>
            </w:r>
          </w:p>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《老旧小区有机更新改造技术导则》（2016年10月）</w:t>
            </w:r>
          </w:p>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《城市旧居住区综合改造技术标准》TCSUS04-2019</w:t>
            </w:r>
          </w:p>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《建筑设计防火规范》GB50016-2014（2018年版）</w:t>
            </w:r>
          </w:p>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《城市消防规划规范》GB51080-2015</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wBefore w:w="0" w:type="dxa"/>
          <w:wAfter w:w="0" w:type="dxa"/>
          <w:trHeight w:val="132" w:hRule="atLeast"/>
          <w:jc w:val="center"/>
        </w:trPr>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5162" w:type="dxa"/>
            <w:noWrap w:val="0"/>
            <w:tcMar>
              <w:top w:w="15" w:type="dxa"/>
              <w:left w:w="15" w:type="dxa"/>
              <w:bottom w:w="15" w:type="dxa"/>
              <w:right w:w="15" w:type="dxa"/>
            </w:tcMar>
            <w:vAlign w:val="center"/>
          </w:tcPr>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助餐设施</w:t>
            </w:r>
          </w:p>
        </w:tc>
        <w:tc>
          <w:tcPr>
            <w:tcW w:w="7059" w:type="dxa"/>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wBefore w:w="0" w:type="dxa"/>
          <w:wAfter w:w="0" w:type="dxa"/>
          <w:trHeight w:val="153" w:hRule="atLeast"/>
          <w:jc w:val="center"/>
        </w:trPr>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5162" w:type="dxa"/>
            <w:noWrap w:val="0"/>
            <w:tcMar>
              <w:top w:w="15" w:type="dxa"/>
              <w:left w:w="15" w:type="dxa"/>
              <w:bottom w:w="15" w:type="dxa"/>
              <w:right w:w="15" w:type="dxa"/>
            </w:tcMar>
            <w:vAlign w:val="center"/>
          </w:tcPr>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设置家政保洁服务网点</w:t>
            </w:r>
          </w:p>
        </w:tc>
        <w:tc>
          <w:tcPr>
            <w:tcW w:w="7059" w:type="dxa"/>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wBefore w:w="0" w:type="dxa"/>
          <w:wAfter w:w="0" w:type="dxa"/>
          <w:trHeight w:val="200" w:hRule="atLeast"/>
          <w:jc w:val="center"/>
        </w:trPr>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5162" w:type="dxa"/>
            <w:noWrap w:val="0"/>
            <w:tcMar>
              <w:top w:w="15" w:type="dxa"/>
              <w:left w:w="15" w:type="dxa"/>
              <w:bottom w:w="15" w:type="dxa"/>
              <w:right w:w="15" w:type="dxa"/>
            </w:tcMar>
            <w:vAlign w:val="center"/>
          </w:tcPr>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设置便民市场、便利店</w:t>
            </w:r>
          </w:p>
        </w:tc>
        <w:tc>
          <w:tcPr>
            <w:tcW w:w="7059" w:type="dxa"/>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wBefore w:w="0" w:type="dxa"/>
          <w:wAfter w:w="0" w:type="dxa"/>
          <w:trHeight w:val="234" w:hRule="atLeast"/>
          <w:jc w:val="center"/>
        </w:trPr>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5162" w:type="dxa"/>
            <w:noWrap w:val="0"/>
            <w:tcMar>
              <w:top w:w="15" w:type="dxa"/>
              <w:left w:w="15" w:type="dxa"/>
              <w:bottom w:w="15" w:type="dxa"/>
              <w:right w:w="15" w:type="dxa"/>
            </w:tcMar>
            <w:vAlign w:val="center"/>
          </w:tcPr>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设置应急救援站</w:t>
            </w:r>
          </w:p>
        </w:tc>
        <w:tc>
          <w:tcPr>
            <w:tcW w:w="7059" w:type="dxa"/>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wBefore w:w="0" w:type="dxa"/>
          <w:wAfter w:w="0" w:type="dxa"/>
          <w:trHeight w:val="1013" w:hRule="atLeast"/>
          <w:jc w:val="center"/>
        </w:trPr>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660" w:type="dxa"/>
            <w:vMerge w:val="restart"/>
            <w:noWrap w:val="0"/>
            <w:tcMar>
              <w:top w:w="15" w:type="dxa"/>
              <w:left w:w="15" w:type="dxa"/>
              <w:bottom w:w="15" w:type="dxa"/>
              <w:right w:w="15" w:type="dxa"/>
            </w:tcMar>
            <w:vAlign w:val="center"/>
          </w:tcPr>
          <w:p>
            <w:pPr>
              <w:widowControl/>
              <w:spacing w:line="340" w:lineRule="exact"/>
              <w:ind w:left="105" w:leftChars="50" w:right="105" w:rightChars="50"/>
              <w:jc w:val="center"/>
              <w:rPr>
                <w:rFonts w:ascii="Arial" w:hAnsi="Arial" w:cs="Arial"/>
                <w:color w:val="000000"/>
                <w:kern w:val="0"/>
                <w:szCs w:val="21"/>
              </w:rPr>
            </w:pPr>
            <w:r>
              <w:rPr>
                <w:rFonts w:cs="Arial"/>
                <w:color w:val="000000"/>
                <w:kern w:val="24"/>
                <w:szCs w:val="21"/>
              </w:rPr>
              <w:t>6</w:t>
            </w:r>
          </w:p>
        </w:tc>
        <w:tc>
          <w:tcPr>
            <w:tcW w:w="1880" w:type="dxa"/>
            <w:vMerge w:val="restart"/>
            <w:noWrap w:val="0"/>
            <w:tcMar>
              <w:top w:w="15" w:type="dxa"/>
              <w:left w:w="15" w:type="dxa"/>
              <w:bottom w:w="15" w:type="dxa"/>
              <w:right w:w="15" w:type="dxa"/>
            </w:tcMar>
            <w:vAlign w:val="center"/>
          </w:tcPr>
          <w:p>
            <w:pPr>
              <w:widowControl/>
              <w:spacing w:line="340" w:lineRule="exact"/>
              <w:ind w:left="105" w:leftChars="50" w:right="105" w:rightChars="50"/>
              <w:jc w:val="center"/>
              <w:rPr>
                <w:rFonts w:ascii="Arial" w:hAnsi="Arial" w:cs="Arial"/>
                <w:color w:val="000000"/>
                <w:kern w:val="0"/>
                <w:szCs w:val="21"/>
              </w:rPr>
            </w:pPr>
            <w:r>
              <w:rPr>
                <w:rFonts w:hAnsi="Arial" w:cs="Arial"/>
                <w:color w:val="000000"/>
                <w:kern w:val="24"/>
                <w:szCs w:val="21"/>
              </w:rPr>
              <w:t>智慧化社区</w:t>
            </w:r>
          </w:p>
        </w:tc>
        <w:tc>
          <w:tcPr>
            <w:tcW w:w="5162" w:type="dxa"/>
            <w:noWrap w:val="0"/>
            <w:tcMar>
              <w:top w:w="15" w:type="dxa"/>
              <w:left w:w="15" w:type="dxa"/>
              <w:bottom w:w="15" w:type="dxa"/>
              <w:right w:w="15" w:type="dxa"/>
            </w:tcMar>
            <w:vAlign w:val="center"/>
          </w:tcPr>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建设小区物业管理信息系统</w:t>
            </w:r>
          </w:p>
        </w:tc>
        <w:tc>
          <w:tcPr>
            <w:tcW w:w="7059" w:type="dxa"/>
            <w:vMerge w:val="restart"/>
            <w:noWrap w:val="0"/>
            <w:tcMar>
              <w:top w:w="15" w:type="dxa"/>
              <w:left w:w="15" w:type="dxa"/>
              <w:bottom w:w="15" w:type="dxa"/>
              <w:right w:w="15" w:type="dxa"/>
            </w:tcMar>
            <w:vAlign w:val="center"/>
          </w:tcPr>
          <w:p>
            <w:pPr>
              <w:widowControl/>
              <w:spacing w:line="340" w:lineRule="exact"/>
              <w:ind w:left="105" w:leftChars="50" w:right="105" w:rightChars="50"/>
              <w:jc w:val="left"/>
              <w:rPr>
                <w:rFonts w:ascii="Arial" w:hAnsi="Arial" w:cs="Arial"/>
                <w:color w:val="000000"/>
                <w:kern w:val="0"/>
                <w:szCs w:val="21"/>
              </w:rPr>
            </w:pPr>
            <w:r>
              <w:rPr>
                <w:rFonts w:hint="eastAsia" w:ascii="宋体" w:hAnsi="宋体" w:cs="宋体"/>
                <w:color w:val="000000"/>
                <w:kern w:val="24"/>
                <w:szCs w:val="21"/>
              </w:rPr>
              <w:t>《智慧社区建设指南》(试行)</w:t>
            </w:r>
          </w:p>
          <w:p>
            <w:pPr>
              <w:widowControl/>
              <w:spacing w:line="340" w:lineRule="exact"/>
              <w:ind w:left="105" w:leftChars="50" w:right="105" w:rightChars="50"/>
              <w:jc w:val="left"/>
              <w:rPr>
                <w:rFonts w:ascii="Arial" w:hAnsi="Arial" w:cs="Arial"/>
                <w:color w:val="000000"/>
                <w:kern w:val="0"/>
                <w:szCs w:val="21"/>
              </w:rPr>
            </w:pPr>
            <w:r>
              <w:rPr>
                <w:rFonts w:hint="eastAsia" w:ascii="宋体" w:hAnsi="宋体" w:cs="宋体"/>
                <w:color w:val="000000"/>
                <w:kern w:val="24"/>
                <w:szCs w:val="21"/>
              </w:rPr>
              <w:t>《视频安防监控系统工程设计规范》GB50395-2007</w:t>
            </w:r>
          </w:p>
          <w:p>
            <w:pPr>
              <w:widowControl/>
              <w:spacing w:line="340" w:lineRule="exact"/>
              <w:ind w:left="105" w:leftChars="50" w:right="105" w:rightChars="50"/>
              <w:jc w:val="left"/>
              <w:rPr>
                <w:rFonts w:ascii="Arial" w:hAnsi="Arial" w:cs="Arial"/>
                <w:color w:val="000000"/>
                <w:kern w:val="0"/>
                <w:szCs w:val="21"/>
              </w:rPr>
            </w:pPr>
            <w:r>
              <w:rPr>
                <w:rFonts w:hint="eastAsia" w:ascii="宋体" w:hAnsi="宋体" w:cs="宋体"/>
                <w:color w:val="000000"/>
                <w:kern w:val="24"/>
                <w:szCs w:val="21"/>
              </w:rPr>
              <w:t>《住宅信报箱工程技术规范》GB50631-2010</w:t>
            </w:r>
          </w:p>
          <w:p>
            <w:pPr>
              <w:widowControl/>
              <w:spacing w:line="340" w:lineRule="exact"/>
              <w:ind w:left="105" w:leftChars="50" w:right="105" w:rightChars="50"/>
              <w:jc w:val="left"/>
              <w:rPr>
                <w:rFonts w:ascii="Arial" w:hAnsi="Arial" w:cs="Arial"/>
                <w:color w:val="000000"/>
                <w:kern w:val="0"/>
                <w:szCs w:val="21"/>
              </w:rPr>
            </w:pPr>
            <w:r>
              <w:rPr>
                <w:rFonts w:hint="eastAsia" w:ascii="宋体" w:hAnsi="宋体" w:cs="宋体"/>
                <w:color w:val="000000"/>
                <w:kern w:val="24"/>
                <w:szCs w:val="21"/>
              </w:rPr>
              <w:t>《楼寓对讲系统 第1部分：通用技术要求》</w:t>
            </w:r>
          </w:p>
          <w:p>
            <w:pPr>
              <w:widowControl/>
              <w:spacing w:line="340" w:lineRule="exact"/>
              <w:ind w:left="105" w:leftChars="50" w:right="105" w:rightChars="50"/>
              <w:jc w:val="left"/>
              <w:rPr>
                <w:rFonts w:ascii="Arial" w:hAnsi="Arial" w:cs="Arial"/>
                <w:color w:val="000000"/>
                <w:kern w:val="0"/>
                <w:szCs w:val="21"/>
              </w:rPr>
            </w:pPr>
            <w:r>
              <w:rPr>
                <w:rFonts w:hint="eastAsia" w:ascii="宋体" w:hAnsi="宋体" w:cs="宋体"/>
                <w:color w:val="000000"/>
                <w:kern w:val="24"/>
                <w:szCs w:val="21"/>
              </w:rPr>
              <w:t>《特种设备安全监察条例》</w:t>
            </w:r>
          </w:p>
          <w:p>
            <w:pPr>
              <w:widowControl/>
              <w:spacing w:line="340" w:lineRule="exact"/>
              <w:ind w:left="105" w:leftChars="50" w:right="105" w:rightChars="50"/>
              <w:jc w:val="left"/>
              <w:rPr>
                <w:rFonts w:ascii="Arial" w:hAnsi="Arial" w:cs="Arial"/>
                <w:color w:val="000000"/>
                <w:kern w:val="0"/>
                <w:szCs w:val="21"/>
              </w:rPr>
            </w:pPr>
            <w:r>
              <w:rPr>
                <w:rFonts w:hint="eastAsia" w:ascii="宋体" w:hAnsi="宋体" w:cs="宋体"/>
                <w:color w:val="000000"/>
                <w:kern w:val="24"/>
                <w:szCs w:val="21"/>
              </w:rPr>
              <w:t>《入侵报警系统工程设计规范》GB50394-2007</w:t>
            </w:r>
          </w:p>
        </w:tc>
      </w:tr>
      <w:tr>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wBefore w:w="0" w:type="dxa"/>
          <w:wAfter w:w="0" w:type="dxa"/>
          <w:trHeight w:val="800" w:hRule="atLeast"/>
          <w:jc w:val="center"/>
        </w:trPr>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0" w:type="auto"/>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c>
          <w:tcPr>
            <w:tcW w:w="5162" w:type="dxa"/>
            <w:noWrap w:val="0"/>
            <w:tcMar>
              <w:top w:w="15" w:type="dxa"/>
              <w:left w:w="15" w:type="dxa"/>
              <w:bottom w:w="15" w:type="dxa"/>
              <w:right w:w="15" w:type="dxa"/>
            </w:tcMar>
            <w:vAlign w:val="center"/>
          </w:tcPr>
          <w:p>
            <w:pPr>
              <w:widowControl/>
              <w:spacing w:line="340" w:lineRule="exact"/>
              <w:ind w:left="105" w:leftChars="50" w:right="105" w:rightChars="50"/>
              <w:jc w:val="left"/>
              <w:rPr>
                <w:rFonts w:ascii="Arial" w:hAnsi="Arial" w:cs="Arial"/>
                <w:color w:val="000000"/>
                <w:kern w:val="0"/>
                <w:szCs w:val="21"/>
              </w:rPr>
            </w:pPr>
            <w:r>
              <w:rPr>
                <w:rFonts w:hAnsi="Arial" w:cs="Arial"/>
                <w:color w:val="000000"/>
                <w:kern w:val="24"/>
                <w:szCs w:val="21"/>
              </w:rPr>
              <w:t>建设社区生活服务平台</w:t>
            </w:r>
          </w:p>
        </w:tc>
        <w:tc>
          <w:tcPr>
            <w:tcW w:w="7059" w:type="dxa"/>
            <w:vMerge w:val="continue"/>
            <w:noWrap w:val="0"/>
            <w:vAlign w:val="center"/>
          </w:tcPr>
          <w:p>
            <w:pPr>
              <w:widowControl/>
              <w:spacing w:line="340" w:lineRule="exact"/>
              <w:ind w:left="105" w:leftChars="50" w:right="105" w:rightChars="50"/>
              <w:jc w:val="left"/>
              <w:rPr>
                <w:rFonts w:ascii="Arial" w:hAnsi="Arial" w:cs="Arial"/>
                <w:color w:val="000000"/>
                <w:kern w:val="0"/>
                <w:szCs w:val="21"/>
              </w:rPr>
            </w:pPr>
          </w:p>
        </w:tc>
      </w:tr>
    </w:tbl>
    <w:p>
      <w:pPr>
        <w:pStyle w:val="9"/>
        <w:spacing w:before="0" w:beforeAutospacing="0" w:after="0" w:afterAutospacing="0" w:line="560" w:lineRule="exact"/>
        <w:jc w:val="center"/>
        <w:rPr>
          <w:rFonts w:hint="eastAsia"/>
        </w:rPr>
      </w:pPr>
    </w:p>
    <w:p>
      <w:pPr>
        <w:snapToGrid w:val="0"/>
        <w:spacing w:line="560" w:lineRule="exact"/>
        <w:rPr>
          <w:rFonts w:hint="eastAsia" w:ascii="仿宋_GB2312" w:hAnsi="宋体" w:eastAsia="仿宋_GB2312" w:cs="宋体"/>
          <w:b/>
          <w:sz w:val="32"/>
          <w:szCs w:val="32"/>
          <w:lang w:bidi="en-US"/>
        </w:rPr>
      </w:pPr>
    </w:p>
    <w:sectPr>
      <w:footerReference r:id="rId9" w:type="default"/>
      <w:footerReference r:id="rId10" w:type="even"/>
      <w:pgSz w:w="16838" w:h="11906" w:orient="landscape"/>
      <w:pgMar w:top="1588" w:right="1701" w:bottom="1588" w:left="1588" w:header="851" w:footer="1077"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Helvetica Neue">
    <w:altName w:val="Corbel"/>
    <w:panose1 w:val="02000503000000020004"/>
    <w:charset w:val="00"/>
    <w:family w:val="auto"/>
    <w:pitch w:val="default"/>
    <w:sig w:usb0="00000000" w:usb1="00000000" w:usb2="00000010" w:usb3="00000000" w:csb0="00000000" w:csb1="00000000"/>
  </w:font>
  <w:font w:name="方正小标宋简体">
    <w:altName w:val="Arial Unicode MS"/>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1" w:usb1="080E0000" w:usb2="00000000" w:usb3="00000000" w:csb0="00040000" w:csb1="00000000"/>
  </w:font>
  <w:font w:name="方正黑体简体">
    <w:altName w:val="微软雅黑"/>
    <w:panose1 w:val="02010601030101010101"/>
    <w:charset w:val="86"/>
    <w:family w:val="auto"/>
    <w:pitch w:val="default"/>
    <w:sig w:usb0="00000001" w:usb1="080E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Corbel">
    <w:panose1 w:val="020B0503020204020204"/>
    <w:charset w:val="00"/>
    <w:family w:val="auto"/>
    <w:pitch w:val="default"/>
    <w:sig w:usb0="A00002EF" w:usb1="4000A4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lang/>
      </w:rPr>
      <w:t xml:space="preserve"> 1 -</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560"/>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lang/>
      </w:rPr>
      <w:t xml:space="preserve"> 2 -</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lang/>
      </w:rPr>
      <w:t xml:space="preserve"> 19 -</w:t>
    </w:r>
    <w:r>
      <w:rPr>
        <w:rFonts w:ascii="宋体" w:hAnsi="宋体"/>
        <w:sz w:val="28"/>
        <w:szCs w:val="2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lang/>
      </w:rPr>
      <w:t xml:space="preserve"> 20 -</w:t>
    </w:r>
    <w:r>
      <w:rPr>
        <w:rFonts w:ascii="宋体" w:hAnsi="宋体"/>
        <w:sz w:val="28"/>
        <w:szCs w:val="2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lang/>
      </w:rPr>
      <w:t xml:space="preserve"> 25 -</w:t>
    </w:r>
    <w:r>
      <w:rPr>
        <w:rFonts w:ascii="宋体" w:hAnsi="宋体"/>
        <w:sz w:val="28"/>
        <w:szCs w:val="2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lang/>
      </w:rPr>
      <w:t xml:space="preserve"> 24 -</w:t>
    </w:r>
    <w:r>
      <w:rPr>
        <w:rFonts w:ascii="宋体" w:hAnsi="宋体"/>
        <w:sz w:val="28"/>
        <w:szCs w:val="2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lang/>
      </w:rPr>
      <w:t xml:space="preserve"> 26 -</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CF1CEA"/>
    <w:rsid w:val="000125B0"/>
    <w:rsid w:val="000348A1"/>
    <w:rsid w:val="00096E40"/>
    <w:rsid w:val="000E7BDA"/>
    <w:rsid w:val="000F4A4A"/>
    <w:rsid w:val="00113991"/>
    <w:rsid w:val="00195032"/>
    <w:rsid w:val="001D313C"/>
    <w:rsid w:val="00294C58"/>
    <w:rsid w:val="00385B80"/>
    <w:rsid w:val="00386691"/>
    <w:rsid w:val="003E344C"/>
    <w:rsid w:val="0041120D"/>
    <w:rsid w:val="004301B0"/>
    <w:rsid w:val="00430DA5"/>
    <w:rsid w:val="004651DE"/>
    <w:rsid w:val="004B4BE0"/>
    <w:rsid w:val="00504A20"/>
    <w:rsid w:val="0051566A"/>
    <w:rsid w:val="005837C5"/>
    <w:rsid w:val="005F65DD"/>
    <w:rsid w:val="00621FFF"/>
    <w:rsid w:val="006A564C"/>
    <w:rsid w:val="007627A1"/>
    <w:rsid w:val="0076534E"/>
    <w:rsid w:val="00805E98"/>
    <w:rsid w:val="00941355"/>
    <w:rsid w:val="009C623D"/>
    <w:rsid w:val="00A4708C"/>
    <w:rsid w:val="00C131D1"/>
    <w:rsid w:val="00C81393"/>
    <w:rsid w:val="00CA1C3F"/>
    <w:rsid w:val="00CA7A6F"/>
    <w:rsid w:val="00D27544"/>
    <w:rsid w:val="00D37D26"/>
    <w:rsid w:val="00DB3C1D"/>
    <w:rsid w:val="00E016B3"/>
    <w:rsid w:val="00E969A5"/>
    <w:rsid w:val="00EC456E"/>
    <w:rsid w:val="00F43CBE"/>
    <w:rsid w:val="00FB0706"/>
    <w:rsid w:val="0C24002A"/>
    <w:rsid w:val="0CEB7807"/>
    <w:rsid w:val="0FDB05E9"/>
    <w:rsid w:val="10323EBF"/>
    <w:rsid w:val="138571BF"/>
    <w:rsid w:val="1415569D"/>
    <w:rsid w:val="16DF7556"/>
    <w:rsid w:val="19DE02F4"/>
    <w:rsid w:val="1BB7E956"/>
    <w:rsid w:val="1C382713"/>
    <w:rsid w:val="1CE82C8A"/>
    <w:rsid w:val="24480050"/>
    <w:rsid w:val="28845355"/>
    <w:rsid w:val="2F7D2322"/>
    <w:rsid w:val="308E3ADE"/>
    <w:rsid w:val="315862FA"/>
    <w:rsid w:val="315D7DA4"/>
    <w:rsid w:val="31951D7A"/>
    <w:rsid w:val="34272F42"/>
    <w:rsid w:val="36FE1B51"/>
    <w:rsid w:val="37A1401C"/>
    <w:rsid w:val="46646C9F"/>
    <w:rsid w:val="47825A18"/>
    <w:rsid w:val="47CF1CEA"/>
    <w:rsid w:val="4F4E2E30"/>
    <w:rsid w:val="50BD7DDE"/>
    <w:rsid w:val="55905C48"/>
    <w:rsid w:val="59E600BF"/>
    <w:rsid w:val="5A3E08D5"/>
    <w:rsid w:val="5AB10293"/>
    <w:rsid w:val="5C8803BA"/>
    <w:rsid w:val="5F3C105E"/>
    <w:rsid w:val="664404F3"/>
    <w:rsid w:val="6A0966BD"/>
    <w:rsid w:val="6CBE6D17"/>
    <w:rsid w:val="6DB57768"/>
    <w:rsid w:val="6E897ABB"/>
    <w:rsid w:val="7DB1FC04"/>
    <w:rsid w:val="7DFE3CB4"/>
    <w:rsid w:val="7F5E1780"/>
    <w:rsid w:val="AFFFAF40"/>
    <w:rsid w:val="F34D89C8"/>
    <w:rsid w:val="FD87CA4E"/>
    <w:rsid w:val="FFFC85B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kern w:val="2"/>
      <w:sz w:val="21"/>
      <w:szCs w:val="24"/>
      <w:lang w:val="en-US" w:eastAsia="zh-CN" w:bidi="ar-SA"/>
    </w:rPr>
  </w:style>
  <w:style w:type="character" w:default="1" w:styleId="13">
    <w:name w:val="Default Paragraph Font"/>
    <w:unhideWhenUsed/>
    <w:uiPriority w:val="1"/>
  </w:style>
  <w:style w:type="table" w:default="1" w:styleId="11">
    <w:name w:val="Normal Table"/>
    <w:unhideWhenUsed/>
    <w:uiPriority w:val="99"/>
    <w:tblPr>
      <w:tblStyle w:val="11"/>
      <w:tblCellMar>
        <w:top w:w="0" w:type="dxa"/>
        <w:left w:w="108" w:type="dxa"/>
        <w:bottom w:w="0" w:type="dxa"/>
        <w:right w:w="108" w:type="dxa"/>
      </w:tblCellMar>
    </w:tblPr>
  </w:style>
  <w:style w:type="paragraph" w:styleId="2">
    <w:name w:val="Body Text"/>
    <w:basedOn w:val="1"/>
    <w:qFormat/>
    <w:uiPriority w:val="0"/>
    <w:rPr>
      <w:rFonts w:eastAsia="仿宋_GB2312"/>
      <w:b/>
      <w:bCs/>
    </w:rPr>
  </w:style>
  <w:style w:type="paragraph" w:styleId="3">
    <w:name w:val="Body Text Indent"/>
    <w:basedOn w:val="1"/>
    <w:link w:val="23"/>
    <w:qFormat/>
    <w:uiPriority w:val="0"/>
    <w:pPr>
      <w:spacing w:after="120"/>
      <w:ind w:left="420" w:leftChars="200"/>
    </w:pPr>
  </w:style>
  <w:style w:type="paragraph" w:styleId="4">
    <w:name w:val="Plain Text"/>
    <w:basedOn w:val="1"/>
    <w:link w:val="21"/>
    <w:qFormat/>
    <w:uiPriority w:val="0"/>
    <w:rPr>
      <w:rFonts w:ascii="宋体" w:hAnsi="Courier New" w:cs="Courier New"/>
      <w:szCs w:val="21"/>
    </w:rPr>
  </w:style>
  <w:style w:type="paragraph" w:styleId="5">
    <w:name w:val="Date"/>
    <w:basedOn w:val="1"/>
    <w:next w:val="1"/>
    <w:link w:val="17"/>
    <w:uiPriority w:val="0"/>
    <w:pPr>
      <w:ind w:left="100" w:leftChars="2500"/>
    </w:pPr>
  </w:style>
  <w:style w:type="paragraph" w:styleId="6">
    <w:name w:val="Body Text Indent 2"/>
    <w:basedOn w:val="1"/>
    <w:qFormat/>
    <w:uiPriority w:val="0"/>
    <w:pPr>
      <w:spacing w:after="120" w:afterLines="0" w:line="480" w:lineRule="auto"/>
      <w:ind w:left="420" w:leftChars="200"/>
    </w:pPr>
  </w:style>
  <w:style w:type="paragraph" w:styleId="7">
    <w:name w:val="footer"/>
    <w:basedOn w:val="1"/>
    <w:link w:val="20"/>
    <w:qFormat/>
    <w:uiPriority w:val="99"/>
    <w:pPr>
      <w:tabs>
        <w:tab w:val="center" w:pos="4153"/>
        <w:tab w:val="right" w:pos="8306"/>
      </w:tabs>
      <w:snapToGrid w:val="0"/>
      <w:jc w:val="left"/>
    </w:pPr>
    <w:rPr>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Body Text First Indent 2"/>
    <w:basedOn w:val="3"/>
    <w:link w:val="22"/>
    <w:qFormat/>
    <w:uiPriority w:val="0"/>
    <w:pPr>
      <w:ind w:firstLine="420" w:firstLineChars="200"/>
    </w:pPr>
  </w:style>
  <w:style w:type="table" w:styleId="12">
    <w:name w:val="Table Grid"/>
    <w:qFormat/>
    <w:uiPriority w:val="0"/>
    <w:rPr>
      <w:rFonts w:ascii="Calibri" w:hAnsi="Calibri"/>
      <w:lang w:val="en-US" w:eastAsia="zh-CN" w:bidi="ar-SA"/>
    </w:r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4">
    <w:name w:val="No Spacing"/>
    <w:qFormat/>
    <w:uiPriority w:val="1"/>
    <w:pPr>
      <w:framePr w:hSpace="180" w:wrap="around" w:vAnchor="text" w:hAnchor="text" w:y="1"/>
      <w:widowControl w:val="0"/>
      <w:snapToGrid w:val="0"/>
      <w:jc w:val="center"/>
    </w:pPr>
    <w:rPr>
      <w:rFonts w:ascii="仿宋" w:hAnsi="仿宋" w:eastAsia="仿宋"/>
      <w:kern w:val="2"/>
      <w:sz w:val="21"/>
      <w:szCs w:val="21"/>
      <w:lang w:val="en-US" w:eastAsia="zh-CN" w:bidi="ar-SA"/>
    </w:rPr>
  </w:style>
  <w:style w:type="paragraph" w:customStyle="1" w:styleId="15">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 w:type="character" w:customStyle="1" w:styleId="16">
    <w:name w:val="NormalCharacter"/>
    <w:qFormat/>
    <w:uiPriority w:val="0"/>
  </w:style>
  <w:style w:type="character" w:customStyle="1" w:styleId="17">
    <w:name w:val="日期 Char"/>
    <w:link w:val="5"/>
    <w:uiPriority w:val="0"/>
    <w:rPr>
      <w:rFonts w:ascii="Calibri" w:hAnsi="Calibri"/>
      <w:kern w:val="2"/>
      <w:sz w:val="21"/>
      <w:szCs w:val="24"/>
    </w:rPr>
  </w:style>
  <w:style w:type="character" w:customStyle="1" w:styleId="18">
    <w:name w:val="font01"/>
    <w:qFormat/>
    <w:uiPriority w:val="0"/>
    <w:rPr>
      <w:rFonts w:hint="eastAsia" w:ascii="仿宋_GB2312" w:eastAsia="仿宋_GB2312" w:cs="仿宋_GB2312"/>
      <w:b/>
      <w:color w:val="000000"/>
      <w:sz w:val="32"/>
      <w:szCs w:val="32"/>
      <w:u w:val="none"/>
      <w:vertAlign w:val="superscript"/>
    </w:rPr>
  </w:style>
  <w:style w:type="character" w:customStyle="1" w:styleId="19">
    <w:name w:val="页眉 Char"/>
    <w:link w:val="8"/>
    <w:uiPriority w:val="0"/>
    <w:rPr>
      <w:rFonts w:ascii="Calibri" w:hAnsi="Calibri" w:eastAsia="宋体" w:cs="Times New Roman"/>
      <w:kern w:val="2"/>
      <w:sz w:val="18"/>
      <w:szCs w:val="18"/>
    </w:rPr>
  </w:style>
  <w:style w:type="character" w:customStyle="1" w:styleId="20">
    <w:name w:val="页脚 Char"/>
    <w:link w:val="7"/>
    <w:qFormat/>
    <w:uiPriority w:val="99"/>
    <w:rPr>
      <w:rFonts w:ascii="Calibri" w:hAnsi="Calibri" w:eastAsia="宋体" w:cs="Times New Roman"/>
      <w:kern w:val="2"/>
      <w:sz w:val="18"/>
      <w:szCs w:val="18"/>
    </w:rPr>
  </w:style>
  <w:style w:type="character" w:customStyle="1" w:styleId="21">
    <w:name w:val="纯文本 Char"/>
    <w:link w:val="4"/>
    <w:uiPriority w:val="0"/>
    <w:rPr>
      <w:rFonts w:ascii="宋体" w:hAnsi="Courier New" w:cs="Courier New"/>
      <w:kern w:val="2"/>
      <w:sz w:val="21"/>
      <w:szCs w:val="21"/>
    </w:rPr>
  </w:style>
  <w:style w:type="character" w:customStyle="1" w:styleId="22">
    <w:name w:val="正文首行缩进 2 Char"/>
    <w:basedOn w:val="23"/>
    <w:link w:val="10"/>
    <w:uiPriority w:val="0"/>
  </w:style>
  <w:style w:type="character" w:customStyle="1" w:styleId="23">
    <w:name w:val="正文文本缩进 Char"/>
    <w:link w:val="3"/>
    <w:uiPriority w:val="0"/>
    <w:rPr>
      <w:rFonts w:ascii="Calibri" w:hAnsi="Calibri"/>
      <w:kern w:val="2"/>
      <w:sz w:val="21"/>
      <w:szCs w:val="24"/>
    </w:rPr>
  </w:style>
  <w:style w:type="character" w:customStyle="1" w:styleId="24">
    <w:name w:val="font21"/>
    <w:qFormat/>
    <w:uiPriority w:val="0"/>
    <w:rPr>
      <w:rFonts w:hint="eastAsia" w:ascii="方正小标宋简体" w:hAnsi="方正小标宋简体" w:eastAsia="方正小标宋简体" w:cs="方正小标宋简体"/>
      <w:color w:val="000000"/>
      <w:sz w:val="64"/>
      <w:szCs w:val="64"/>
      <w:u w:val="none"/>
    </w:rPr>
  </w:style>
  <w:style w:type="character" w:customStyle="1" w:styleId="25">
    <w:name w:val="font41"/>
    <w:qFormat/>
    <w:uiPriority w:val="0"/>
    <w:rPr>
      <w:rFonts w:hint="eastAsia" w:ascii="仿宋_GB2312" w:eastAsia="仿宋_GB2312" w:cs="仿宋_GB2312"/>
      <w:b/>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ABC</Company>
  <Pages>27</Pages>
  <Words>2293</Words>
  <Characters>13076</Characters>
  <Lines>108</Lines>
  <Paragraphs>30</Paragraphs>
  <TotalTime>3</TotalTime>
  <ScaleCrop>false</ScaleCrop>
  <LinksUpToDate>false</LinksUpToDate>
  <CharactersWithSpaces>15339</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2021-01-06T08:53:00Z</dcterms:created>
  <dc:creator>whitney</dc:creator>
  <cp:lastModifiedBy>〰</cp:lastModifiedBy>
  <cp:lastPrinted>2021-01-07T01:17:00Z</cp:lastPrinted>
  <dcterms:modified xsi:type="dcterms:W3CDTF">2021-01-07T02:29:51Z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